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2F" w:rsidRPr="002C229C" w:rsidRDefault="00040F2F" w:rsidP="00040F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9C">
        <w:rPr>
          <w:rFonts w:ascii="Times New Roman" w:hAnsi="Times New Roman" w:cs="Times New Roman"/>
          <w:b/>
          <w:sz w:val="28"/>
          <w:szCs w:val="28"/>
        </w:rPr>
        <w:t>O trotskismo e a Revolução Boliviana de 1952</w:t>
      </w:r>
    </w:p>
    <w:p w:rsidR="00040F2F" w:rsidRPr="002C229C" w:rsidRDefault="00040F2F" w:rsidP="00040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9C">
        <w:rPr>
          <w:rFonts w:ascii="Times New Roman" w:hAnsi="Times New Roman" w:cs="Times New Roman"/>
          <w:sz w:val="24"/>
          <w:szCs w:val="24"/>
        </w:rPr>
        <w:t>Marcio Lauria Monteiro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E56FE" w:rsidRPr="002C229C" w:rsidRDefault="008E56FE" w:rsidP="008E56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Em abril de 2017 completam-se 65 anos do começo da Revolução Boliviana de 1952. Essa, que foi a primeira revolução proletária da América Latina, teve como um de seus importantes protagonistas uma organização trotskista, cuja história é em parte pouco conhecida e em parte distorcida.</w:t>
      </w:r>
    </w:p>
    <w:p w:rsidR="008E56FE" w:rsidRPr="002C229C" w:rsidRDefault="008E56FE" w:rsidP="008E56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F2F" w:rsidRPr="002C229C" w:rsidRDefault="00040F2F" w:rsidP="00040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b/>
          <w:sz w:val="24"/>
          <w:szCs w:val="24"/>
        </w:rPr>
        <w:t xml:space="preserve">De um </w:t>
      </w:r>
      <w:r w:rsidR="000D3A75" w:rsidRPr="002C229C">
        <w:rPr>
          <w:rFonts w:ascii="Times New Roman" w:eastAsia="Times New Roman" w:hAnsi="Times New Roman" w:cs="Times New Roman"/>
          <w:b/>
          <w:i/>
          <w:sz w:val="24"/>
          <w:szCs w:val="24"/>
        </w:rPr>
        <w:t>putsch</w:t>
      </w:r>
      <w:r w:rsidRPr="002C229C">
        <w:rPr>
          <w:rFonts w:ascii="Times New Roman" w:eastAsia="Times New Roman" w:hAnsi="Times New Roman" w:cs="Times New Roman"/>
          <w:b/>
          <w:sz w:val="24"/>
          <w:szCs w:val="24"/>
        </w:rPr>
        <w:t>a uma insurreição popular e proletária</w:t>
      </w:r>
    </w:p>
    <w:p w:rsidR="00C40FC2" w:rsidRPr="002C229C" w:rsidRDefault="00C40FC2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Após ter conseguido apenas um assento dos 27 totais nas eleições parlamentares de 1949, o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MovimientoNacionalistaRevolucionario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(MNR) ganhou as eleições presidenciais de 1951, à época realizadas com base em sufrágio censitário. A surpreendente vitória por ampla margem de seu candidato, Victor Paz Estenssoro, sobre o candidato da situação contou com o apoio do recém-formado Partido Comunista boliviano e também da organização trotskista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PartidoObreroRevolucionario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(POR). Todavia, as forças armadas o impediram de assumir, instituindo uma junta militar com apoio do parlamento. Em 9 abril de 1952, ante uma crescente insatisfação popular para com o governo dessa junta, o MNR tentou chegar ao poder através de um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putsch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, em aliança com um o general da Polícia Nacional, Hernán Síles.</w:t>
      </w:r>
    </w:p>
    <w:p w:rsidR="00530F48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A trama deveria se limitar a um golpe, apoiado nas tropas de Síles, mas rapidamente acabou se tornando uma insurreição popular: em resposta à mobilização das forças armadas 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>oficialistas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 xml:space="preserve">no dia 10,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setores do proletariado e da população civil em geral pegaram em armas, marcharam sobre as principais cidades e nelas montaram barricadas, seguindo a iniciativa dos mineiros de Oruro, que tomaram La Paz.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 xml:space="preserve"> (JOHN, 2009, p. 117-121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 xml:space="preserve"> e ANDRADE, 201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>, p. 257-259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O golpe projetado pela liderança do MNR não almejava mudanças sociais anticapitalistas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 xml:space="preserve"> (ANDRADE, 201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>, p. 259)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. Surgido no contexto de grande insatisfação social após a derrota da Bolívia para o Paraguai na Guerra do Chaco (1932-35), 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 xml:space="preserve">tal organização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tinha como principal projeto político “modernizar” o país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através do fomento estatal a uma economia nacional forte</w:t>
      </w:r>
      <w:r w:rsidR="002E114F" w:rsidRPr="002C229C">
        <w:rPr>
          <w:rFonts w:ascii="Times New Roman" w:eastAsia="Times New Roman" w:hAnsi="Times New Roman" w:cs="Times New Roman"/>
          <w:sz w:val="24"/>
          <w:szCs w:val="24"/>
        </w:rPr>
        <w:t xml:space="preserve"> (ROCHA, 2006, p. 16-18)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. Nesse sentido, a historiadora Silvia Rivera o caracteriza como um partido de “jacobinos sem burguesia”, uma vez que sua composição social era principalmente de profissionais liberais, mas profundamente comprometidos com a ordem 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capitalista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apud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ROCHA, 2006, p. 18-19). 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>O MNR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 xml:space="preserve"> inclusive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F48" w:rsidRPr="002C229C">
        <w:rPr>
          <w:rFonts w:ascii="Times New Roman" w:eastAsia="Times New Roman" w:hAnsi="Times New Roman" w:cs="Times New Roman"/>
          <w:sz w:val="24"/>
          <w:szCs w:val="24"/>
        </w:rPr>
        <w:t xml:space="preserve"> já havia participado d</w:t>
      </w:r>
      <w:r w:rsidR="002E7B7E" w:rsidRPr="002C229C">
        <w:rPr>
          <w:rFonts w:ascii="Times New Roman" w:eastAsia="Times New Roman" w:hAnsi="Times New Roman" w:cs="Times New Roman"/>
          <w:sz w:val="24"/>
          <w:szCs w:val="24"/>
        </w:rPr>
        <w:t xml:space="preserve">os governos </w:t>
      </w:r>
      <w:r w:rsidR="002144A2" w:rsidRPr="002C229C">
        <w:rPr>
          <w:rFonts w:ascii="Times New Roman" w:eastAsia="Times New Roman" w:hAnsi="Times New Roman" w:cs="Times New Roman"/>
          <w:sz w:val="24"/>
          <w:szCs w:val="24"/>
        </w:rPr>
        <w:t>Toro, Busch</w:t>
      </w:r>
      <w:r w:rsidR="002E7B7E" w:rsidRPr="002C229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144A2" w:rsidRPr="002C229C">
        <w:rPr>
          <w:rFonts w:ascii="Times New Roman" w:eastAsia="Times New Roman" w:hAnsi="Times New Roman" w:cs="Times New Roman"/>
          <w:sz w:val="24"/>
          <w:szCs w:val="24"/>
        </w:rPr>
        <w:t>Villarroel (JOHN, 2009, p. 115)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F2F" w:rsidRPr="002C229C" w:rsidRDefault="00530F48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lastRenderedPageBreak/>
        <w:t>Todavia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, a tentativa de (re) conduzir Paz Estenssoro ao poder fugiu das mãos do MNR e foi transformad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a,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pela ação das massas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em uma verdadeira revolução social, que d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issolveu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 xml:space="preserve">grosso do 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aparato repressivo do Estado em menos de 24h, o substituiu por milícias operárias e, apenas uma semana após o levante do dia 9, culminou na formação da </w:t>
      </w:r>
      <w:r w:rsidR="00040F2F" w:rsidRPr="002C229C">
        <w:rPr>
          <w:rFonts w:ascii="Times New Roman" w:eastAsia="Times New Roman" w:hAnsi="Times New Roman" w:cs="Times New Roman"/>
          <w:i/>
          <w:sz w:val="24"/>
          <w:szCs w:val="24"/>
        </w:rPr>
        <w:t>Central Obrera Boliviana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(COB). Foram as massas insurretas que levaram o MNR ao poder, saudando Síles e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depois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Paz Estenssoro, quando este retornou do exílio e assumiu a presidência.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A COB surgiu desse processo como uma poderosa organização proletária (com participação também de estudantes e camponeses), inicialmente detendo o controle de significativa parte das milícias populares, configurando-se enquanto um verdadeiro segundo poder. A duas principais forças no interior dessa organização eram o POR e o MNR.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 xml:space="preserve"> (ANDRADE, 201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1F5E" w:rsidRPr="002C229C">
        <w:rPr>
          <w:rFonts w:ascii="Times New Roman" w:eastAsia="Times New Roman" w:hAnsi="Times New Roman" w:cs="Times New Roman"/>
          <w:sz w:val="24"/>
          <w:szCs w:val="24"/>
        </w:rPr>
        <w:t>, p. 259-260)</w:t>
      </w:r>
    </w:p>
    <w:p w:rsidR="002E7B7E" w:rsidRPr="002C229C" w:rsidRDefault="00040F2F" w:rsidP="00245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O POR possuía considerável e histórica inserção entre os trabalhadores das minas de estanho, base da economia nacional, e dominadas por três grandes barões (</w:t>
      </w:r>
      <w:r w:rsidR="009D2BCC" w:rsidRPr="002C229C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9D2BCC" w:rsidRPr="002C229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osca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), que projetavam seu poder oligopolista para outros ramos da economia. Em 1946, quando do 4º Congresso da </w:t>
      </w:r>
      <w:r w:rsidR="002E7B7E" w:rsidRPr="002C229C">
        <w:rPr>
          <w:rFonts w:ascii="Times New Roman" w:eastAsia="Times New Roman" w:hAnsi="Times New Roman" w:cs="Times New Roman"/>
          <w:sz w:val="24"/>
          <w:szCs w:val="24"/>
        </w:rPr>
        <w:t>federação sindical dos mineiros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foi 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o POR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que deu as bases para o manifesto programático adotado, as “Teses de Pulacayo”</w:t>
      </w:r>
      <w:r w:rsidR="009D2BCC" w:rsidRPr="002C229C">
        <w:rPr>
          <w:rFonts w:ascii="Times New Roman" w:eastAsia="Times New Roman" w:hAnsi="Times New Roman" w:cs="Times New Roman"/>
          <w:sz w:val="24"/>
          <w:szCs w:val="24"/>
        </w:rPr>
        <w:t xml:space="preserve"> (LORA, 1977, p. 245-252)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 xml:space="preserve">possuíam clara inspiração na Teoria da Revolução Permanente trotskista e no manifesto programático da Quarta Internacional (o </w:t>
      </w:r>
      <w:r w:rsidR="00245374" w:rsidRPr="002C229C">
        <w:rPr>
          <w:rFonts w:ascii="Times New Roman" w:eastAsia="Times New Roman" w:hAnsi="Times New Roman" w:cs="Times New Roman"/>
          <w:i/>
          <w:sz w:val="24"/>
          <w:szCs w:val="24"/>
        </w:rPr>
        <w:t>Programa de Transição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>). Elas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apontavam a necessidade da classe trabalhadora 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 xml:space="preserve">ter seu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óprio governo, ao invés de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confiar nos representantes e aliados da burguesia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 xml:space="preserve">;de 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>realiza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>, ela própria, as tarefas de caráter “democrático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-burguês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 xml:space="preserve">simultaneamente às 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>de caráter socialista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;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1294C" w:rsidRPr="002C229C">
        <w:rPr>
          <w:rFonts w:ascii="Times New Roman" w:eastAsia="Times New Roman" w:hAnsi="Times New Roman" w:cs="Times New Roman"/>
          <w:sz w:val="24"/>
          <w:szCs w:val="24"/>
        </w:rPr>
        <w:t>finaliz</w:t>
      </w:r>
      <w:r w:rsidR="00245374" w:rsidRPr="002C229C">
        <w:rPr>
          <w:rFonts w:ascii="Times New Roman" w:eastAsia="Times New Roman" w:hAnsi="Times New Roman" w:cs="Times New Roman"/>
          <w:sz w:val="24"/>
          <w:szCs w:val="24"/>
        </w:rPr>
        <w:t>ava com uma série de demandas “transitórias” (TESIS, 1946)</w:t>
      </w:r>
      <w:r w:rsidR="002E7B7E" w:rsidRPr="002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F2F" w:rsidRPr="002C229C" w:rsidRDefault="00040F2F" w:rsidP="002453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O MNR, por sua vez, também possuía inserção entre os trabalhadores mineiros, especialmente a partir da figura de Juan Lechín, histórico líder sindical, que foi o principal nome à frente das massas durante a insurreição popular. Os postos de liderança na COB foram em grande maioria ocupados por sindicalistas membros do MNR próximos a Lechín</w:t>
      </w:r>
      <w:r w:rsidR="009D2BCC" w:rsidRPr="002C229C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 xml:space="preserve">foi escolhidocomo seu </w:t>
      </w:r>
      <w:r w:rsidR="009D2BCC" w:rsidRPr="002C229C">
        <w:rPr>
          <w:rFonts w:ascii="Times New Roman" w:eastAsia="Times New Roman" w:hAnsi="Times New Roman" w:cs="Times New Roman"/>
          <w:sz w:val="24"/>
          <w:szCs w:val="24"/>
        </w:rPr>
        <w:t>Secretário Geral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A tensão entre o novo governo e as massas insurretas não tardou a aparecer. De um lado, a liderança do MNR no governo, organizada ao redor de Paz Estenssoro, dava declarações à imprensa de que era absolutamente contra o “comunismo” e de que almejava a restauração da normalidade institucional, buscando, assim, uma aproximação com os EUA. De outro lado, fábricas eram ocupadas, camponeses tomavam as terras dos latifundiários e a COB demandava a nacionalização e autogestão operária das minas e ferrovias, bem como uma profunda reforma agrária. Somada a essa mobilização o fato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lastRenderedPageBreak/>
        <w:t>do poder militar se encontrar nas mãos da COB, o MNR acabou por conceder um “co-governo” a seus representantes, o que o permitiu cooptar lideranças operárias e populares para o reestabelecimento da ordem burguesa, a partir da inserção daquelas no gabinete ministerial e nos cargos de segundo escalão do novo governo. Esse “co-governo” foi um elemento-chave para reverter as mobilizações e desmantelar a situação de dualidade de poderes aberta com o surgimento da COB.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Paralelamente, o MNR também realizou concessões parciais às demandas das massas insurretas. Em especial a nacionalização das minas, decretada em outubro – mas realizada após dar tempo para </w:t>
      </w:r>
      <w:r w:rsidR="009D2BCC" w:rsidRPr="002C229C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9D2BCC" w:rsidRPr="002C229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osca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remover parte do maquinário e, diferentemente do que exigiam os mineiros, realizada mediante compensação monetária aos proprietários e limitando a gestão sindical da produção. Também a reforma agrária, decretada em agosto de 1953 – mas que preservou o grande latifúndio, não atendeu às demandas de restituição de terras dos povos originários e redistribuiu apenas uma pequena porção de propriedades. Não obstante essas limitações, tais concessões reduziram sobremaneira as mobilizações populares que vinham pressionando o governo.</w:t>
      </w:r>
      <w:r w:rsidR="009D2BCC" w:rsidRPr="002C22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>ANDRADE, 2012</w:t>
      </w:r>
      <w:r w:rsidR="004300AE" w:rsidRPr="002C229C">
        <w:rPr>
          <w:rFonts w:ascii="Times New Roman" w:eastAsia="Times New Roman" w:hAnsi="Times New Roman" w:cs="Times New Roman"/>
          <w:sz w:val="24"/>
          <w:szCs w:val="24"/>
        </w:rPr>
        <w:t>, p. 259-26</w:t>
      </w:r>
      <w:r w:rsidR="002144A2" w:rsidRPr="002C22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00AE" w:rsidRPr="002C229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9D2BCC" w:rsidRPr="002C229C">
        <w:rPr>
          <w:rFonts w:ascii="Times New Roman" w:eastAsia="Times New Roman" w:hAnsi="Times New Roman" w:cs="Times New Roman"/>
          <w:sz w:val="24"/>
          <w:szCs w:val="24"/>
        </w:rPr>
        <w:t xml:space="preserve">JOHN, 2009, p. </w:t>
      </w:r>
      <w:r w:rsidR="009D2BCC" w:rsidRPr="002C229C">
        <w:rPr>
          <w:rFonts w:ascii="Times New Roman" w:eastAsia="Times New Roman" w:hAnsi="Times New Roman" w:cs="Times New Roman"/>
          <w:iCs/>
          <w:sz w:val="24"/>
          <w:szCs w:val="24"/>
        </w:rPr>
        <w:t>120-121)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Com o passar dos anos, o MNR foi recuando nas suas reformas e se aproximado cada vez mais dos EUA, que chegaram a ter assessores ocupando postos de destaque no governo e impuseram uma série de demandas em troca de empréstimos. 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1956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governo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finaliz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a restruturação de uma força armada nacional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desestatiz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o setor petroleiro. Também 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>nesse ano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quando a insurreição já havia dado lugar à “normalidade”, foram convocadas eleições para um governo constitucional (o primeiro pleito boliviano </w:t>
      </w:r>
      <w:r w:rsidR="00827940" w:rsidRPr="002C229C">
        <w:rPr>
          <w:rFonts w:ascii="Times New Roman" w:eastAsia="Times New Roman" w:hAnsi="Times New Roman" w:cs="Times New Roman"/>
          <w:sz w:val="24"/>
          <w:szCs w:val="24"/>
        </w:rPr>
        <w:t>com sufrágio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universal). O candidato do MNR, Hernán Síles, foi eleito Presidente com 84,4% dos votos, </w:t>
      </w:r>
      <w:r w:rsidR="002E7B7E" w:rsidRPr="002C229C">
        <w:rPr>
          <w:rFonts w:ascii="Times New Roman" w:eastAsia="Times New Roman" w:hAnsi="Times New Roman" w:cs="Times New Roman"/>
          <w:sz w:val="24"/>
          <w:szCs w:val="24"/>
        </w:rPr>
        <w:t xml:space="preserve">tendo o POR obtido 0,2% e não tendo conseguido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assentos no parlamento bicameral.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 xml:space="preserve"> (ANDRADE, 2012</w:t>
      </w:r>
      <w:r w:rsidR="004300AE" w:rsidRPr="002C229C">
        <w:rPr>
          <w:rFonts w:ascii="Times New Roman" w:eastAsia="Times New Roman" w:hAnsi="Times New Roman" w:cs="Times New Roman"/>
          <w:sz w:val="24"/>
          <w:szCs w:val="24"/>
        </w:rPr>
        <w:t>, p. 26</w:t>
      </w:r>
      <w:r w:rsidR="002144A2" w:rsidRPr="002C22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00AE" w:rsidRPr="002C229C">
        <w:rPr>
          <w:rFonts w:ascii="Times New Roman" w:eastAsia="Times New Roman" w:hAnsi="Times New Roman" w:cs="Times New Roman"/>
          <w:sz w:val="24"/>
          <w:szCs w:val="24"/>
        </w:rPr>
        <w:t xml:space="preserve">-269 e </w:t>
      </w:r>
      <w:r w:rsidR="008C1919" w:rsidRPr="002C229C">
        <w:rPr>
          <w:rFonts w:ascii="Times New Roman" w:eastAsia="Times New Roman" w:hAnsi="Times New Roman" w:cs="Times New Roman"/>
          <w:sz w:val="24"/>
          <w:szCs w:val="24"/>
        </w:rPr>
        <w:t>HOFMEISTER e BAMBERGER, 1993)</w:t>
      </w:r>
    </w:p>
    <w:p w:rsidR="002E7B7E" w:rsidRPr="002C229C" w:rsidRDefault="002E7B7E" w:rsidP="002E7B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0F2F" w:rsidRPr="002C229C" w:rsidRDefault="0049727C" w:rsidP="004972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b/>
          <w:sz w:val="24"/>
          <w:szCs w:val="24"/>
        </w:rPr>
        <w:t>A linha política do POR e suas raízes internacionais</w:t>
      </w:r>
    </w:p>
    <w:p w:rsidR="00040F2F" w:rsidRPr="002C229C" w:rsidRDefault="00040F2F" w:rsidP="00040F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Graças a s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a inserção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 xml:space="preserve"> entre os mineiros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o POR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ocupou papel de destaque na fundação da COB e em sua liderança, ainda que esta estivesse majoritariamente nas mãos d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e Lechín e seus aliados do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MNR. 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aquele momento, ter influência na COB (mesmo que em “segundo lugar”) significava ter influência sobre aquilo que 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 xml:space="preserve">Guillermo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Lora (1977, p. 279), um d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sdirigentes históricos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 xml:space="preserve"> do POR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, afirmou ter se tornado “a força política mais importante no país”, ao redor da qual passara a ser tr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avada a disputa por seu controle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F2F" w:rsidRPr="002C229C" w:rsidRDefault="00040F2F" w:rsidP="00040F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Considerando que a corrente trotskista se reivindicava como legítima representante do socialismo revolucionário, em contraposição às políticas de colaboração de classes do stalinismo e da social-democracia, é comum se assumir que a linha do POR foi de disputa pelo poder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contraoMNR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no sentido de transformar o processo insurrecional aberto em uma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revoluçãosocialistaproletária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. Everaldo (2016)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, por exemplo,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afirma que o POR, diferentemente do projeto nacionalista-burguês do MNR, “pretendia ir muito além, propondo uma revolução em que os trabalhadores operários e os camponeses assumissem o poder [...] que o poder do país fosse exercido pela COB e não pelo MNR” (p. 268), ou que “o POR pretendia transformar a COB em um ponto de partida para o governo revolucionário de operários e camponeses e afastar Paz Estenssoro da presidência” (p. 259).</w:t>
      </w:r>
    </w:p>
    <w:p w:rsidR="00040F2F" w:rsidRPr="002C229C" w:rsidRDefault="00D17619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Todavia, a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despeito de sua considerável e histórica influência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 xml:space="preserve"> política,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linha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do POR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não foi de se lançar como alternativa política, ou propor a constituição de um governo proletário anticapitalista com base na COB, mas de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conferir “apoio crítico” à chamada “ala esquerda” do 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MNR (isto é, a ala sindicalista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de Lechín), visando pressiona-la para que rompesse com a “ala direita”, considerada burguesa (aquela de Paz Estenssoro e Síles). </w:t>
      </w:r>
      <w:r w:rsidR="00621378" w:rsidRPr="002C229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ndo na contramão da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 xml:space="preserve"> Teoria da Revolução Permanente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e das próprias 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Teses de Pulacayo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, o POR, conforme demonstrou a pesquisa do historiador Sándor John (2009, p. 125) “combinou críticas pela esquerda ao regime com apoio a ele, especialmente à Lechín e aos outros ministros trabalhadores, visando empurrar e pressionar o governo a realizar as aspirações das massas”. E a forma como o POR concebia a possiblidade de um giro à esquerda do regime, conforme demonstrado pela pesquisa</w:t>
      </w:r>
      <w:r w:rsidR="00A27B1B" w:rsidRPr="002C229C">
        <w:rPr>
          <w:rFonts w:ascii="Times New Roman" w:eastAsia="Times New Roman" w:hAnsi="Times New Roman" w:cs="Times New Roman"/>
          <w:sz w:val="24"/>
          <w:szCs w:val="24"/>
        </w:rPr>
        <w:t>/polêmica militante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realizada por </w:t>
      </w:r>
      <w:r w:rsidR="00A27B1B" w:rsidRPr="002C229C">
        <w:rPr>
          <w:rFonts w:ascii="Times New Roman" w:eastAsia="Times New Roman" w:hAnsi="Times New Roman" w:cs="Times New Roman"/>
          <w:sz w:val="24"/>
          <w:szCs w:val="24"/>
        </w:rPr>
        <w:t xml:space="preserve">José 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Villa ([1992], [s.p.])</w:t>
      </w:r>
      <w:r w:rsidR="00A27B1B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era através da entrada de representantes trabalhadores no gabinete ministerial, com vistas a favorecer sua “ala esquerda” e, assim, “empurra-lo” para políticas mais radicais.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Essa postura</w:t>
      </w:r>
      <w:r w:rsidR="00A27B1B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de disputa do governo e de apoio </w:t>
      </w:r>
      <w:r w:rsidR="00C40FC2" w:rsidRPr="002C229C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parte dele</w:t>
      </w:r>
      <w:r w:rsidR="00A27B1B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era baseada, conforme apontava a própria imprensa do POR, na caracterização daquele enquanto “pequeno-burguês” e do MNR enquanto “um partido em transição, de uma política tradicional ou reformista para a nova política da transformação revolucionária do proletariado enquanto o líder de toda a sociedade oprimida”. Assim, ainda que reconhecendo que o MNR não era um partido proletário, o POR defendia que ele passasse por uma “mudança de composição social”, para que pudesse atingir um programa capaz de fazê-lo “desempenhar um papel decisivo no presente período”. (</w:t>
      </w:r>
      <w:r w:rsidR="00800E74" w:rsidRPr="002C229C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 xml:space="preserve">pud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VILLA, [1992], [s.p.])</w:t>
      </w:r>
      <w:r w:rsidR="00D17619" w:rsidRPr="002C229C">
        <w:rPr>
          <w:rFonts w:ascii="Times New Roman" w:eastAsia="Times New Roman" w:hAnsi="Times New Roman" w:cs="Times New Roman"/>
          <w:sz w:val="24"/>
          <w:szCs w:val="24"/>
        </w:rPr>
        <w:t xml:space="preserve"> Ou seja, depositava confiança na “ala esquerda” do MNR para cumprir o papel de sujeito político de uma revolução anticapitalista.</w:t>
      </w:r>
    </w:p>
    <w:p w:rsidR="00A27B1B" w:rsidRPr="002C229C" w:rsidRDefault="00A27B1B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lastRenderedPageBreak/>
        <w:t>Tal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 xml:space="preserve"> orientação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do POR 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não era um “desvio” em relação à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quelaassumida à época pela 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Quarta Internacional. Na realidade, tal partido estava seguindo à risca as resoluções adotadas pelo 3º Congresso Mundial (1951) e aquelas emitidas pelo Secretariado Internacional (órgão dirigente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da QI</w:t>
      </w:r>
      <w:r w:rsidR="00040F2F" w:rsidRPr="002C229C">
        <w:rPr>
          <w:rFonts w:ascii="Times New Roman" w:eastAsia="Times New Roman" w:hAnsi="Times New Roman" w:cs="Times New Roman"/>
          <w:sz w:val="24"/>
          <w:szCs w:val="24"/>
        </w:rPr>
        <w:t>) ante a insurreição de abril de 1952 – a saber, de “pressionar” a “ala esquerda” do MNR para que rompesse com a “direita” e formasse um “governo operário e camponês” junto ao POR.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 xml:space="preserve"> (ver LATIN, 1951, INSSURECTION, 1952 e BOLIVIE, 1953)</w:t>
      </w:r>
    </w:p>
    <w:p w:rsidR="00B50B4E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“Governo operário e camponês” </w:t>
      </w:r>
      <w:r w:rsidR="00800E74" w:rsidRPr="002C229C">
        <w:rPr>
          <w:rFonts w:ascii="Times New Roman" w:eastAsia="Times New Roman" w:hAnsi="Times New Roman" w:cs="Times New Roman"/>
          <w:sz w:val="24"/>
          <w:szCs w:val="24"/>
        </w:rPr>
        <w:t>foi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um termo originalmente utilizado na tradição da Internacional Comunista como equivalente “popular” do conceito de “ditadura do proletariado”, </w:t>
      </w:r>
      <w:r w:rsidR="00D17619" w:rsidRPr="002C229C">
        <w:rPr>
          <w:rFonts w:ascii="Times New Roman" w:eastAsia="Times New Roman" w:hAnsi="Times New Roman" w:cs="Times New Roman"/>
          <w:sz w:val="24"/>
          <w:szCs w:val="24"/>
        </w:rPr>
        <w:t xml:space="preserve">mas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a liderança que ascendeu ao comando da Quarta Internacional no pós Segunda Guerra o transformou em um conceito de regime de transição entre capitalismo e ditadura do proletariado: assentado sob bases capitalistas, mas com uma liderança que, ainda que não revolucionária, se supunha poderser pressionada pela ação das massas a ir além de seu programa original e expropriar a burguesia econômica e politicamente. Assim, a tarefa dos trotskistas ante tal tipo de regime seria a de lhe conferir “apoio crítico”, visando leva-lo a realizar tal transição. Originalmente elaborado ante as experiências revolucionárias iugoslava (1944-48) e chinesa (1949-52), foi esse programa de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transiçãogradual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à ditadura do proletariado que determinou a ação do setor majoritário do movimento trotskista no pós-guerra, levando</w:t>
      </w:r>
      <w:r w:rsidR="00800E74" w:rsidRPr="002C229C">
        <w:rPr>
          <w:rFonts w:ascii="Times New Roman" w:eastAsia="Times New Roman" w:hAnsi="Times New Roman" w:cs="Times New Roman"/>
          <w:sz w:val="24"/>
          <w:szCs w:val="24"/>
        </w:rPr>
        <w:t>-o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a uma profunda crise, que se encontra nas origens da sua atual fragmentação organizativa e teórico-programática. 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>(MONTEIRO, 2016</w:t>
      </w:r>
      <w:r w:rsidR="008C4D8A" w:rsidRPr="002C229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Seguindo tal programa, o POR permitiu ser transformado em um instrumento da “ala esquerda” do MNR entre os setores mais radicais do proletariado boliviano, ao passo que tal ala e seus “ministros operários” foram transformados em um instrumento da “ala direita” do MNR e da burguesia boliviana, de forma que essa verdadeira “correia de transmissão” garantiu aos últimos fazerem apenas concessões parciais às massas insurretas e, em médio prazo, findarem a dualidade de poderes que havia se estabelecido em abril de 1952, com o armamento de tais massas e sua organização na COB. (JOHN, 2009; VILLA, [1997])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Foi apenas em fins de 1952 que o POR realizou uma autocrítica </w:t>
      </w:r>
      <w:r w:rsidR="00800E74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(parcial) 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dessa sua linha, reconhecendo que os ministros indicados pela COB acabaram atuando no sentido de submete-la ao governo do MNR, e de que a fração sindical do partido estava a capitular sistematicamente </w:t>
      </w:r>
      <w:r w:rsidR="00C40FC2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Juan Lechín</w:t>
      </w:r>
      <w:r w:rsidR="00C40FC2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Cia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Essa autocrítica levou a um chamado para que os ministros operários se demitissem</w:t>
      </w:r>
      <w:r w:rsidR="00C40FC2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mas 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não foi acompanhado por um chamado para que a COB assumisse o poder. Ademais, demonstrando que sua 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caracterização fundamental não havia sido </w:t>
      </w:r>
      <w:r w:rsidR="00C40FC2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afetada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ta</w:t>
      </w:r>
      <w:r w:rsidR="00800E74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 “autocrítica”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em janeiro de 1953, quando a “ala direita” do MNR tentou um golpe para deter exclusivamente o poder, o POR respondeu com a demanda </w:t>
      </w:r>
      <w:r w:rsidR="00C40FC2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gabinete conjunto </w:t>
      </w:r>
      <w:r w:rsidR="004C36D7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dele </w:t>
      </w:r>
      <w:r w:rsidR="008E56FE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“ala esquerda” do MNR.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>VILLA,[1997], [s.p.])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Conforme reconheceu o próprio Lora, </w:t>
      </w:r>
      <w:r w:rsidR="00B50B4E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uma autocrítica de 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1963, </w:t>
      </w:r>
      <w:r w:rsidR="00B50B4E"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linha do POR 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“possuía os sinais de um enorme erro ideológico: o de acreditar que os trabalhadores poderiam chegar ao poder via Lechín”. Em contrapartida, continua Lora mais adiante, “A palavra de ordem de ‘Todo poder para a COB’ poderia ter levado os trabalhadores à vitória”. (</w:t>
      </w:r>
      <w:r w:rsidRPr="002C229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Apud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VILLA, [1997]</w:t>
      </w:r>
      <w:r w:rsidRPr="002C22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Tal palavra de ordem foi levantada pelo POR apenas em março de 1953, mas, ainda assim, na forma de um chamado para que a burocracia ligada à “ala esquerda” do MNR dentro da COB assumisse o controle completo do gabinete ministerial. E ela foi logo substituída pela de “Controle total do Estado pela ala esquerda do MNR”, em uma resolução de 23 de junho de 1953.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(VILLA, [1997]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>, [s.p.]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50B4E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À época da revolução, apenas setores muitos minoritários do movimento trotskista internacional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se contrapuseram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a essa orientação de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colaboraçãodeclasses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do POR: a diminuta “Fração Leninista” do partido, do seu setorial de Cochabamba – reprimida por forças policias ao tentar chegar ao congresso do POR de 1953, em La Paz, sendo forçada à clandestinidade e ao exílio – e a “Tendência Vern-Ryan”, do setorial de Los Angeles do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SocialistWorkers Party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, seção norte-americana da QI (JOHN, 2009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>, p.147-153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; MONTEIRO, 2016</w:t>
      </w:r>
      <w:r w:rsidR="008C4D8A" w:rsidRPr="002C229C">
        <w:rPr>
          <w:rFonts w:ascii="Times New Roman" w:eastAsia="Times New Roman" w:hAnsi="Times New Roman" w:cs="Times New Roman"/>
          <w:sz w:val="24"/>
          <w:szCs w:val="24"/>
        </w:rPr>
        <w:t>b</w:t>
      </w:r>
      <w:r w:rsidR="00B50B4E" w:rsidRPr="002C229C">
        <w:rPr>
          <w:rFonts w:ascii="Times New Roman" w:eastAsia="Times New Roman" w:hAnsi="Times New Roman" w:cs="Times New Roman"/>
          <w:sz w:val="24"/>
          <w:szCs w:val="24"/>
        </w:rPr>
        <w:t>, p. 303-307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0B4E" w:rsidRPr="002C229C" w:rsidRDefault="00B50B4E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Guillermo Lora e seus herdeiros políticos costumam se apresentar enquanto a ala do trotskismo boliviano que não compactuou com a linha do POR e da liderança internacional previamente apresentada, afirmando que uma fração de orientação “pablista” (ligada ao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então Secretário-Geral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da QI, Michel Pablo) havia se apoderado do partido à época da revolução (CASTRO, 2015, p. 21-23). De fato houve um conflito interno no POR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, a partir de 1953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, que levou 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à ruptura,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em 1954, 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de Lora e alguns membros de sua fraçãocom a liderança da QI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, formando o POR-</w:t>
      </w:r>
      <w:r w:rsidR="004C36D7" w:rsidRPr="002C229C">
        <w:rPr>
          <w:rFonts w:ascii="Times New Roman" w:eastAsia="Times New Roman" w:hAnsi="Times New Roman" w:cs="Times New Roman"/>
          <w:i/>
          <w:sz w:val="24"/>
          <w:szCs w:val="24"/>
        </w:rPr>
        <w:t>Masas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. Todavia, conforme ressalta John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(2009, p. 147-150)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, não se tratou de um conflito entre “pablistas” e “anti-pablistas”, como geralmente é apresentado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ambos os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lados possuíam a </w:t>
      </w:r>
      <w:r w:rsidR="00C266A8" w:rsidRPr="002C229C">
        <w:rPr>
          <w:rFonts w:ascii="Times New Roman" w:eastAsia="Times New Roman" w:hAnsi="Times New Roman" w:cs="Times New Roman"/>
          <w:i/>
          <w:sz w:val="24"/>
          <w:szCs w:val="24"/>
        </w:rPr>
        <w:t>mesma caracterização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acerca do governo do MNR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 xml:space="preserve"> e de como se posicionar ante ele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, discordando apenas quanto a um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possível “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entrismo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em tal grupo. A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 xml:space="preserve">diferença residiu na 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liderança da QI encara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ser necessário que o POR atuasse com vistas a estimular a </w:t>
      </w:r>
      <w:r w:rsidR="00C266A8" w:rsidRPr="002C229C">
        <w:rPr>
          <w:rFonts w:ascii="Times New Roman" w:eastAsia="Times New Roman" w:hAnsi="Times New Roman" w:cs="Times New Roman"/>
          <w:i/>
          <w:sz w:val="24"/>
          <w:szCs w:val="24"/>
        </w:rPr>
        <w:t>ruptura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esquerda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do MNR com o restante do partido, através da 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lastRenderedPageBreak/>
        <w:t>pressão das massas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 xml:space="preserve">, enquanto 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Lora e seus aliados apostavam na formação de um bloco político de longo prazo com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el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>a, na forma de uma “frente única anti-imperialista”.</w:t>
      </w:r>
    </w:p>
    <w:p w:rsidR="00C266A8" w:rsidRPr="002C229C" w:rsidRDefault="00C266A8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Outra figura do movimento trotskista que se reivindicava enquanto um crítico da linha adotada pelo POR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era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Nahuel Moreno, </w:t>
      </w:r>
      <w:r w:rsidR="00D17619" w:rsidRPr="002C229C">
        <w:rPr>
          <w:rFonts w:ascii="Times New Roman" w:eastAsia="Times New Roman" w:hAnsi="Times New Roman" w:cs="Times New Roman"/>
          <w:sz w:val="24"/>
          <w:szCs w:val="24"/>
        </w:rPr>
        <w:t xml:space="preserve">histórico dirigente do trotskismo argentino,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que alegava ter defendido o slogan de “Todo poder à COB!” desde o começo da revolução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e para quem a atuação do POR representou “uma das traições mais espetaculares do século 20” (MORENO, 2008, p. 24). De fato, o grupo argentino 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Moreno realizou 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 xml:space="preserve">à época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críticas à atuação do POR, mas Villa ([19997], [s.p.]) </w:t>
      </w:r>
      <w:r w:rsidR="004C36D7" w:rsidRPr="002C229C">
        <w:rPr>
          <w:rFonts w:ascii="Times New Roman" w:eastAsia="Times New Roman" w:hAnsi="Times New Roman" w:cs="Times New Roman"/>
          <w:sz w:val="24"/>
          <w:szCs w:val="24"/>
        </w:rPr>
        <w:t>aponta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que ele apresentou enquanto alternativa tão-somente uma </w:t>
      </w:r>
      <w:r w:rsidRPr="002C229C">
        <w:rPr>
          <w:rFonts w:ascii="Times New Roman" w:eastAsia="Times New Roman" w:hAnsi="Times New Roman" w:cs="Times New Roman"/>
          <w:i/>
          <w:sz w:val="24"/>
          <w:szCs w:val="24"/>
        </w:rPr>
        <w:t>variante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 w:rsidRPr="002C229C">
        <w:rPr>
          <w:rFonts w:ascii="Times New Roman" w:eastAsia="Times New Roman" w:hAnsi="Times New Roman" w:cs="Times New Roman"/>
          <w:sz w:val="24"/>
          <w:szCs w:val="24"/>
        </w:rPr>
        <w:t>linha geral, de travar a luta ao nível da composição do gabinete ministerial (propondo a eleição dos ministros pelo movimento sindical), e que Moreno só defendeu a palavra de ordem de “Todo poder à COB!” quando a mobilização popular e proletária já havia decrescido consideravelmente.</w:t>
      </w:r>
    </w:p>
    <w:p w:rsidR="00C266A8" w:rsidRPr="002C229C" w:rsidRDefault="00C266A8" w:rsidP="00C26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6A8" w:rsidRPr="002C229C" w:rsidRDefault="00C266A8" w:rsidP="00C26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040F2F" w:rsidRPr="002C229C" w:rsidRDefault="00040F2F" w:rsidP="00040F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29C">
        <w:rPr>
          <w:rFonts w:ascii="Times New Roman" w:eastAsia="Times New Roman" w:hAnsi="Times New Roman" w:cs="Times New Roman"/>
          <w:sz w:val="24"/>
          <w:szCs w:val="24"/>
        </w:rPr>
        <w:t>Trazer à tona essa atuação do POR na Revolução Boliviana e sua ligação com a linha então predominante entre os círculos dirigentes internacionais do movimento trotskista é imprescindível para uma compreensão mais apurada não só da profunda crise de tal corrente, mas também do próprio processo de luta de classes que tomou formas agudas na Bolívia a partir de abril de 1952.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Por mais que seja discutível se o POR teria capacidade de </w:t>
      </w:r>
      <w:r w:rsidR="00CB523B" w:rsidRPr="002C229C">
        <w:rPr>
          <w:rFonts w:ascii="Times New Roman" w:eastAsia="Times New Roman" w:hAnsi="Times New Roman" w:cs="Times New Roman"/>
          <w:sz w:val="24"/>
          <w:szCs w:val="24"/>
        </w:rPr>
        <w:t>levar o proletariado boliviano a</w:t>
      </w:r>
      <w:r w:rsidR="00C266A8" w:rsidRPr="002C229C">
        <w:rPr>
          <w:rFonts w:ascii="Times New Roman" w:eastAsia="Times New Roman" w:hAnsi="Times New Roman" w:cs="Times New Roman"/>
          <w:sz w:val="24"/>
          <w:szCs w:val="24"/>
        </w:rPr>
        <w:t xml:space="preserve"> transformar aquele processo em uma revolução socialista</w:t>
      </w:r>
      <w:r w:rsidR="00CB523B" w:rsidRPr="002C229C">
        <w:rPr>
          <w:rFonts w:ascii="Times New Roman" w:eastAsia="Times New Roman" w:hAnsi="Times New Roman" w:cs="Times New Roman"/>
          <w:sz w:val="24"/>
          <w:szCs w:val="24"/>
        </w:rPr>
        <w:t>, fato é que, tanto suas alas majoritárias, quanto as alas majoritárias da Quarta Internacional, não atuaram nesse sentido</w:t>
      </w:r>
      <w:r w:rsidR="008E56FE" w:rsidRPr="002C229C">
        <w:rPr>
          <w:rFonts w:ascii="Times New Roman" w:eastAsia="Times New Roman" w:hAnsi="Times New Roman" w:cs="Times New Roman"/>
          <w:sz w:val="24"/>
          <w:szCs w:val="24"/>
        </w:rPr>
        <w:t>, o que força repensar algumas narrativas consagradas sobre o movimento trotskista e sua crise no pós-guerra</w:t>
      </w:r>
      <w:r w:rsidR="00CB523B" w:rsidRPr="002C2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D8A" w:rsidRPr="002C229C" w:rsidRDefault="008C4D8A" w:rsidP="00040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2F" w:rsidRPr="002C229C" w:rsidRDefault="00611E78" w:rsidP="00684E70">
      <w:pPr>
        <w:spacing w:afterLines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9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9C">
        <w:rPr>
          <w:rFonts w:ascii="Times New Roman" w:hAnsi="Times New Roman" w:cs="Times New Roman"/>
          <w:sz w:val="24"/>
          <w:szCs w:val="24"/>
        </w:rPr>
        <w:t xml:space="preserve">ANDRADE, Everaldo de Oliveira. “A Revolução Boliviana”. In QUINTEIROS, Marcela &amp; MOREIRA, Luiz (org.). </w:t>
      </w:r>
      <w:r w:rsidRPr="002C229C">
        <w:rPr>
          <w:rFonts w:ascii="Times New Roman" w:hAnsi="Times New Roman" w:cs="Times New Roman"/>
          <w:i/>
          <w:sz w:val="24"/>
          <w:szCs w:val="24"/>
        </w:rPr>
        <w:t>História da América pós-independente</w:t>
      </w:r>
      <w:r w:rsidRPr="002C229C">
        <w:rPr>
          <w:rFonts w:ascii="Times New Roman" w:hAnsi="Times New Roman" w:cs="Times New Roman"/>
          <w:sz w:val="24"/>
          <w:szCs w:val="24"/>
        </w:rPr>
        <w:t>. Maringá: Eduem, 2012, p. 249-87.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</w:rPr>
        <w:t xml:space="preserve">BOLIVIE: Tensions entre legouvernement et lesmasses.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</w:rPr>
        <w:t>QuatrièInternationale</w:t>
      </w:r>
      <w:r w:rsidR="002C229C" w:rsidRPr="002C229C">
        <w:rPr>
          <w:rFonts w:ascii="Times New Roman" w:eastAsia="Calibri" w:hAnsi="Times New Roman" w:cs="Times New Roman"/>
          <w:bCs/>
          <w:sz w:val="24"/>
          <w:szCs w:val="24"/>
        </w:rPr>
        <w:t>, vol. 11, n. 8-10,</w:t>
      </w:r>
      <w:r w:rsidRPr="002C229C">
        <w:rPr>
          <w:rFonts w:ascii="Times New Roman" w:eastAsia="Calibri" w:hAnsi="Times New Roman" w:cs="Times New Roman"/>
          <w:bCs/>
          <w:sz w:val="24"/>
          <w:szCs w:val="24"/>
        </w:rPr>
        <w:t xml:space="preserve"> nov. de 1953.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</w:rPr>
        <w:t xml:space="preserve">CASTRO, Atilio.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  <w:lang w:val="es-ES_tradnl"/>
        </w:rPr>
        <w:t>El P.O.R. y la IV. Internacional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. La Paz: Ediciones Masas, 2015, p. 21-23.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</w:rPr>
        <w:t xml:space="preserve">HOFMEISTER, Wilhelm e BAMBERGER, Sascha. “Bolivia”. 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In: NOHLEN, Dieter (ed.). </w:t>
      </w:r>
      <w:r w:rsidRPr="002C229C">
        <w:rPr>
          <w:rFonts w:ascii="Times New Roman" w:eastAsia="Calibri" w:hAnsi="Times New Roman" w:cs="Times New Roman"/>
          <w:bCs/>
          <w:i/>
          <w:iCs/>
          <w:sz w:val="24"/>
          <w:szCs w:val="24"/>
          <w:lang w:val="es-ES_tradnl"/>
        </w:rPr>
        <w:t>Enciclopedia Electoral Latinoamericana y del Caribe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. San José de Costa Rica: Instituto Interamericano de Derechos Humanos, 1993.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s-ES_tradnl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lastRenderedPageBreak/>
        <w:t xml:space="preserve">INSURRECTION en Bolivie.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  <w:lang w:val="es-ES_tradnl"/>
        </w:rPr>
        <w:t>Quatriè</w:t>
      </w:r>
      <w:r w:rsidR="002C229C" w:rsidRPr="002C229C">
        <w:rPr>
          <w:rFonts w:ascii="Times New Roman" w:eastAsia="Calibri" w:hAnsi="Times New Roman" w:cs="Times New Roman"/>
          <w:bCs/>
          <w:i/>
          <w:sz w:val="24"/>
          <w:szCs w:val="24"/>
          <w:lang w:val="es-ES_tradnl"/>
        </w:rPr>
        <w:t>me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  <w:lang w:val="es-ES_tradnl"/>
        </w:rPr>
        <w:t>Internationale</w:t>
      </w:r>
      <w:r w:rsidR="002C229C" w:rsidRPr="002C22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, vol. 10, n. 2-4,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fev.-abr. de 1952.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C229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JOHN, S. Sándor. </w:t>
      </w:r>
      <w:r w:rsidRPr="002C229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Bolivia's Radical Tradition: Permanent Revolution in the Andes</w:t>
      </w:r>
      <w:r w:rsidRPr="002C229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. Tucson: The University of Arizona Press, 2009.</w:t>
      </w:r>
    </w:p>
    <w:p w:rsidR="008C4D8A" w:rsidRPr="00684E70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LATIN America: Problems And Tasks. </w:t>
      </w:r>
      <w:r w:rsidRPr="00684E70">
        <w:rPr>
          <w:rFonts w:ascii="Times New Roman" w:eastAsia="Calibri" w:hAnsi="Times New Roman" w:cs="Times New Roman"/>
          <w:bCs/>
          <w:i/>
          <w:sz w:val="24"/>
          <w:szCs w:val="24"/>
        </w:rPr>
        <w:t>Fourth International</w:t>
      </w:r>
      <w:r w:rsidRPr="00684E70">
        <w:rPr>
          <w:rFonts w:ascii="Times New Roman" w:eastAsia="Calibri" w:hAnsi="Times New Roman" w:cs="Times New Roman"/>
          <w:bCs/>
          <w:sz w:val="24"/>
          <w:szCs w:val="24"/>
        </w:rPr>
        <w:t>, vol. 12, n. 6, nov./dez. de 1951.</w:t>
      </w:r>
    </w:p>
    <w:p w:rsidR="00E0244F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4E70">
        <w:rPr>
          <w:rFonts w:ascii="Times New Roman" w:eastAsia="Calibri" w:hAnsi="Times New Roman" w:cs="Times New Roman"/>
          <w:bCs/>
          <w:sz w:val="24"/>
          <w:szCs w:val="24"/>
        </w:rPr>
        <w:t xml:space="preserve">LORA, Guillermo.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A History of the Bolivian Labour Movement. 1848-1971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/>
        </w:rPr>
        <w:t>Cambridge: Cambridge University Press, 1977.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</w:rPr>
        <w:t xml:space="preserve">MONTEIRO, Marcio Lauria. O movimento trotskista internacional e as revoluções do pós-guerra,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</w:rPr>
        <w:t>Revista Outubro</w:t>
      </w:r>
      <w:r w:rsidRPr="002C229C">
        <w:rPr>
          <w:rFonts w:ascii="Times New Roman" w:eastAsia="Calibri" w:hAnsi="Times New Roman" w:cs="Times New Roman"/>
          <w:bCs/>
          <w:sz w:val="24"/>
          <w:szCs w:val="24"/>
        </w:rPr>
        <w:t>, n. 27, novembro de 2016a, p. 191-219.</w:t>
      </w:r>
    </w:p>
    <w:p w:rsidR="00E0244F" w:rsidRPr="002C229C" w:rsidRDefault="00E0244F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</w:rPr>
        <w:t>MONTEIRO, Marcio Lauria.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O movimento trotskista internacional e as revoluções do pós-guerra: uma análise de suas (re)leituras teóricas e programáticas (1944-63)</w:t>
      </w:r>
      <w:r w:rsidRPr="002C229C">
        <w:rPr>
          <w:rFonts w:ascii="Times New Roman" w:eastAsia="Calibri" w:hAnsi="Times New Roman" w:cs="Times New Roman"/>
          <w:bCs/>
          <w:sz w:val="24"/>
          <w:szCs w:val="24"/>
        </w:rPr>
        <w:t>. Dissertação (Mestrado). Programa de Pós-Graduação em História da UFF, 2016b.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</w:rPr>
        <w:t xml:space="preserve">MORENO, Nahuel.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</w:rPr>
        <w:t>O partido e a revolução</w:t>
      </w:r>
      <w:r w:rsidRPr="002C229C">
        <w:rPr>
          <w:rFonts w:ascii="Times New Roman" w:eastAsia="Calibri" w:hAnsi="Times New Roman" w:cs="Times New Roman"/>
          <w:bCs/>
          <w:sz w:val="24"/>
          <w:szCs w:val="24"/>
        </w:rPr>
        <w:t>. São Paulo: Sundermann, 2008.</w:t>
      </w:r>
    </w:p>
    <w:p w:rsidR="008C4D8A" w:rsidRPr="002C229C" w:rsidRDefault="008C4D8A" w:rsidP="00684E70">
      <w:pPr>
        <w:spacing w:afterLines="1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229C">
        <w:rPr>
          <w:rFonts w:ascii="Times New Roman" w:hAnsi="Times New Roman" w:cs="Times New Roman"/>
          <w:sz w:val="24"/>
          <w:szCs w:val="24"/>
        </w:rPr>
        <w:t xml:space="preserve">ROCHA, Maurício Santoro. “A Outra Volta do Bumerangue: Estado, Movimentos Sociais e Recursos Naturais na Bolívia, 1952-2006”. In ROCHA, Maurício Santoro; CÂMARA, Marcelo A.; SEGABINAZZI, Alessandro. </w:t>
      </w:r>
      <w:r w:rsidRPr="002C229C">
        <w:rPr>
          <w:rFonts w:ascii="Times New Roman" w:hAnsi="Times New Roman" w:cs="Times New Roman"/>
          <w:i/>
          <w:sz w:val="24"/>
          <w:szCs w:val="24"/>
        </w:rPr>
        <w:t>Bolívia: de 1952 ao Século XXI</w:t>
      </w:r>
      <w:r w:rsidRPr="002C229C">
        <w:rPr>
          <w:rFonts w:ascii="Times New Roman" w:hAnsi="Times New Roman" w:cs="Times New Roman"/>
          <w:sz w:val="24"/>
          <w:szCs w:val="24"/>
        </w:rPr>
        <w:t xml:space="preserve">. </w:t>
      </w:r>
      <w:r w:rsidRPr="002C229C">
        <w:rPr>
          <w:rFonts w:ascii="Times New Roman" w:hAnsi="Times New Roman" w:cs="Times New Roman"/>
          <w:sz w:val="24"/>
          <w:szCs w:val="24"/>
          <w:lang w:val="en-US"/>
        </w:rPr>
        <w:t>Brasília: Funag/Ipri, 2006, p. 13-61.</w:t>
      </w:r>
    </w:p>
    <w:p w:rsidR="008C4D8A" w:rsidRPr="002C229C" w:rsidRDefault="008C4D8A" w:rsidP="001A6DAC">
      <w:pPr>
        <w:spacing w:afterLines="1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22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VILLA, José. </w:t>
      </w:r>
      <w:r w:rsidRPr="002C229C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A Revolution Betrayed. The POR and the Fourth International in the Bolivian Revolution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[1992].</w:t>
      </w:r>
      <w:r w:rsidRPr="002C229C">
        <w:rPr>
          <w:rFonts w:ascii="Times New Roman" w:eastAsia="Calibri" w:hAnsi="Times New Roman" w:cs="Times New Roman"/>
          <w:bCs/>
          <w:sz w:val="24"/>
          <w:szCs w:val="24"/>
          <w:lang/>
        </w:rPr>
        <w:t>Disponívelem</w:t>
      </w:r>
      <w:hyperlink r:id="rId8" w:history="1">
        <w:r w:rsidRPr="002C229C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/>
          </w:rPr>
          <w:t>http://tinyurl.com/zkhg4wq</w:t>
        </w:r>
      </w:hyperlink>
      <w:r w:rsidRPr="002C229C">
        <w:rPr>
          <w:rFonts w:ascii="Times New Roman" w:eastAsia="Calibri" w:hAnsi="Times New Roman" w:cs="Times New Roman"/>
          <w:bCs/>
          <w:sz w:val="24"/>
          <w:szCs w:val="24"/>
          <w:lang/>
        </w:rPr>
        <w:t>. Acessadoem 3 de novembro de 2014.</w:t>
      </w:r>
    </w:p>
    <w:sectPr w:rsidR="008C4D8A" w:rsidRPr="002C229C" w:rsidSect="008C4D8A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2F" w:rsidRDefault="0094592F">
      <w:pPr>
        <w:spacing w:after="0" w:line="240" w:lineRule="auto"/>
      </w:pPr>
      <w:r>
        <w:separator/>
      </w:r>
    </w:p>
  </w:endnote>
  <w:endnote w:type="continuationSeparator" w:id="1">
    <w:p w:rsidR="0094592F" w:rsidRDefault="009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2F" w:rsidRDefault="0094592F">
      <w:pPr>
        <w:spacing w:after="0" w:line="240" w:lineRule="auto"/>
      </w:pPr>
      <w:r>
        <w:separator/>
      </w:r>
    </w:p>
  </w:footnote>
  <w:footnote w:type="continuationSeparator" w:id="1">
    <w:p w:rsidR="0094592F" w:rsidRDefault="009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C9" w:rsidRDefault="001A6DAC">
    <w:pPr>
      <w:pStyle w:val="Cabealho"/>
      <w:jc w:val="right"/>
    </w:pPr>
    <w:r>
      <w:fldChar w:fldCharType="begin"/>
    </w:r>
    <w:r w:rsidR="00337DC9">
      <w:instrText xml:space="preserve"> PAGE   \* MERGEFORMAT </w:instrText>
    </w:r>
    <w:r>
      <w:fldChar w:fldCharType="separate"/>
    </w:r>
    <w:r w:rsidR="00684E70">
      <w:rPr>
        <w:noProof/>
      </w:rPr>
      <w:t>8</w:t>
    </w:r>
    <w:r>
      <w:rPr>
        <w:noProof/>
      </w:rPr>
      <w:fldChar w:fldCharType="end"/>
    </w:r>
  </w:p>
  <w:p w:rsidR="00337DC9" w:rsidRDefault="00337D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C9" w:rsidRDefault="00337DC9">
    <w:pPr>
      <w:pStyle w:val="Cabealho"/>
      <w:jc w:val="right"/>
    </w:pPr>
  </w:p>
  <w:p w:rsidR="00337DC9" w:rsidRDefault="00337D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46CA9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E99820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517201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0DF48D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1180DE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B16E37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2E724C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C019E"/>
    <w:multiLevelType w:val="multilevel"/>
    <w:tmpl w:val="C0EE1E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181"/>
    <w:rsid w:val="000024A7"/>
    <w:rsid w:val="00007D3E"/>
    <w:rsid w:val="00022DDD"/>
    <w:rsid w:val="00025859"/>
    <w:rsid w:val="00040F2F"/>
    <w:rsid w:val="0004243E"/>
    <w:rsid w:val="0004351D"/>
    <w:rsid w:val="000D3A75"/>
    <w:rsid w:val="00153098"/>
    <w:rsid w:val="00181181"/>
    <w:rsid w:val="001A6DAC"/>
    <w:rsid w:val="001B53E1"/>
    <w:rsid w:val="001F6423"/>
    <w:rsid w:val="002144A2"/>
    <w:rsid w:val="00214ED2"/>
    <w:rsid w:val="00237799"/>
    <w:rsid w:val="00245374"/>
    <w:rsid w:val="00287173"/>
    <w:rsid w:val="002C229C"/>
    <w:rsid w:val="002D56D3"/>
    <w:rsid w:val="002E114F"/>
    <w:rsid w:val="002E7B7E"/>
    <w:rsid w:val="00337DC9"/>
    <w:rsid w:val="0038494B"/>
    <w:rsid w:val="00396A97"/>
    <w:rsid w:val="003D1B24"/>
    <w:rsid w:val="0041190C"/>
    <w:rsid w:val="00414FF5"/>
    <w:rsid w:val="0042387B"/>
    <w:rsid w:val="004300AE"/>
    <w:rsid w:val="0049727C"/>
    <w:rsid w:val="004C2063"/>
    <w:rsid w:val="004C36D7"/>
    <w:rsid w:val="00530F48"/>
    <w:rsid w:val="00535C27"/>
    <w:rsid w:val="00572890"/>
    <w:rsid w:val="005902EF"/>
    <w:rsid w:val="005A02BA"/>
    <w:rsid w:val="005F2BF4"/>
    <w:rsid w:val="005F2F6A"/>
    <w:rsid w:val="00611E78"/>
    <w:rsid w:val="00621378"/>
    <w:rsid w:val="006234C5"/>
    <w:rsid w:val="00630512"/>
    <w:rsid w:val="0067694D"/>
    <w:rsid w:val="00684E70"/>
    <w:rsid w:val="006C4A1A"/>
    <w:rsid w:val="006C6A81"/>
    <w:rsid w:val="006E1F79"/>
    <w:rsid w:val="00735D3A"/>
    <w:rsid w:val="007421ED"/>
    <w:rsid w:val="007930DF"/>
    <w:rsid w:val="007A1F4F"/>
    <w:rsid w:val="007B3676"/>
    <w:rsid w:val="007B5D4B"/>
    <w:rsid w:val="007E11B5"/>
    <w:rsid w:val="00800E74"/>
    <w:rsid w:val="00813ECC"/>
    <w:rsid w:val="00827940"/>
    <w:rsid w:val="00886BEE"/>
    <w:rsid w:val="008C1919"/>
    <w:rsid w:val="008C4D8A"/>
    <w:rsid w:val="008E56FE"/>
    <w:rsid w:val="009307F5"/>
    <w:rsid w:val="0094592F"/>
    <w:rsid w:val="009B4A82"/>
    <w:rsid w:val="009D2BCC"/>
    <w:rsid w:val="009E7CF5"/>
    <w:rsid w:val="00A1294C"/>
    <w:rsid w:val="00A27B1B"/>
    <w:rsid w:val="00A4192A"/>
    <w:rsid w:val="00A460CC"/>
    <w:rsid w:val="00AA2EE5"/>
    <w:rsid w:val="00AD7CD2"/>
    <w:rsid w:val="00AF4E9C"/>
    <w:rsid w:val="00B42A26"/>
    <w:rsid w:val="00B50B4E"/>
    <w:rsid w:val="00B7462E"/>
    <w:rsid w:val="00BA27F9"/>
    <w:rsid w:val="00C266A8"/>
    <w:rsid w:val="00C40FC2"/>
    <w:rsid w:val="00CB523B"/>
    <w:rsid w:val="00CD752E"/>
    <w:rsid w:val="00D17619"/>
    <w:rsid w:val="00D31F5E"/>
    <w:rsid w:val="00D72538"/>
    <w:rsid w:val="00DA0315"/>
    <w:rsid w:val="00DA69D2"/>
    <w:rsid w:val="00DD4F46"/>
    <w:rsid w:val="00DF3C5E"/>
    <w:rsid w:val="00E0244F"/>
    <w:rsid w:val="00E05419"/>
    <w:rsid w:val="00E17F56"/>
    <w:rsid w:val="00E419A8"/>
    <w:rsid w:val="00ED118D"/>
    <w:rsid w:val="00F5129C"/>
    <w:rsid w:val="00F73574"/>
    <w:rsid w:val="00F87C4E"/>
    <w:rsid w:val="00FA3907"/>
    <w:rsid w:val="00FB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2F"/>
  </w:style>
  <w:style w:type="paragraph" w:styleId="Ttulo1">
    <w:name w:val="heading 1"/>
    <w:basedOn w:val="Normal"/>
    <w:next w:val="Normal"/>
    <w:link w:val="Ttulo1Char"/>
    <w:uiPriority w:val="9"/>
    <w:qFormat/>
    <w:rsid w:val="001A6D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1A6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1A6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DAC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rsid w:val="001A6D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A6DAC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1A6DAC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1A6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DAC"/>
  </w:style>
  <w:style w:type="paragraph" w:styleId="Rodap">
    <w:name w:val="footer"/>
    <w:basedOn w:val="Normal"/>
    <w:link w:val="RodapChar"/>
    <w:uiPriority w:val="99"/>
    <w:rsid w:val="001A6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DAC"/>
  </w:style>
  <w:style w:type="character" w:styleId="Hyperlink">
    <w:name w:val="Hyperlink"/>
    <w:basedOn w:val="Fontepargpadro"/>
    <w:uiPriority w:val="99"/>
    <w:rsid w:val="001A6DA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1A6DAC"/>
    <w:rPr>
      <w:color w:val="80008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A6DAC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1A6DAC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apple-converted-space">
    <w:name w:val="apple-converted-space"/>
    <w:basedOn w:val="Fontepargpadro"/>
    <w:rsid w:val="001A6DAC"/>
  </w:style>
  <w:style w:type="character" w:customStyle="1" w:styleId="bc-delimiter">
    <w:name w:val="bc-delimiter"/>
    <w:basedOn w:val="Fontepargpadro"/>
    <w:rsid w:val="001A6DAC"/>
  </w:style>
  <w:style w:type="paragraph" w:customStyle="1" w:styleId="meta">
    <w:name w:val="meta"/>
    <w:basedOn w:val="Normal"/>
    <w:rsid w:val="001A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pdated">
    <w:name w:val="updated"/>
    <w:basedOn w:val="Fontepargpadro"/>
    <w:rsid w:val="001A6DAC"/>
  </w:style>
  <w:style w:type="paragraph" w:styleId="NormalWeb">
    <w:name w:val="Normal (Web)"/>
    <w:basedOn w:val="Normal"/>
    <w:uiPriority w:val="99"/>
    <w:rsid w:val="001A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1A6DAC"/>
    <w:rPr>
      <w:b/>
      <w:bCs/>
    </w:rPr>
  </w:style>
  <w:style w:type="character" w:styleId="nfase">
    <w:name w:val="Emphasis"/>
    <w:basedOn w:val="Fontepargpadro"/>
    <w:uiPriority w:val="20"/>
    <w:qFormat/>
    <w:rsid w:val="001A6DAC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uiPriority w:val="99"/>
    <w:rsid w:val="001A6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1A6DAC"/>
    <w:rPr>
      <w:rFonts w:ascii="Arial" w:eastAsia="Times New Roman" w:hAnsi="Arial" w:cs="Arial"/>
      <w:vanish/>
      <w:sz w:val="16"/>
      <w:szCs w:val="16"/>
      <w:lang w:val="en-US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rsid w:val="001A6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A6DAC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copyright">
    <w:name w:val="copyright"/>
    <w:basedOn w:val="Normal"/>
    <w:rsid w:val="001A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rsid w:val="001A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A6DAC"/>
    <w:rPr>
      <w:rFonts w:ascii="Tahoma" w:hAnsi="Tahoma" w:cs="Tahoma"/>
      <w:sz w:val="16"/>
      <w:szCs w:val="16"/>
    </w:rPr>
  </w:style>
  <w:style w:type="character" w:customStyle="1" w:styleId="Bodytext2Spacing0pt">
    <w:name w:val="Body text (2) + Spacing 0 pt"/>
    <w:rsid w:val="00DD4F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2F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0"/>
      <w:szCs w:val="20"/>
    </w:rPr>
  </w:style>
  <w:style w:type="character" w:styleId="Refdenotaderodap">
    <w:name w:val="footnote reference"/>
    <w:basedOn w:val="Fontepargpadro"/>
    <w:uiPriority w:val="99"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apple-converted-space">
    <w:name w:val="apple-converted-space"/>
    <w:basedOn w:val="Fontepargpadro"/>
  </w:style>
  <w:style w:type="character" w:customStyle="1" w:styleId="bc-delimiter">
    <w:name w:val="bc-delimiter"/>
    <w:basedOn w:val="Fontepargpadro"/>
  </w:style>
  <w:style w:type="paragraph" w:customStyle="1" w:styleId="meta">
    <w:name w:val="me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pdated">
    <w:name w:val="updated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Pr>
      <w:rFonts w:ascii="Arial" w:eastAsia="Times New Roman" w:hAnsi="Arial" w:cs="Arial"/>
      <w:vanish/>
      <w:sz w:val="16"/>
      <w:szCs w:val="16"/>
      <w:lang w:val="en-US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copyright">
    <w:name w:val="copyrigh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character" w:customStyle="1" w:styleId="Bodytext2Spacing0pt">
    <w:name w:val="Body text (2) + Spacing 0 pt"/>
    <w:rsid w:val="00DD4F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zkhg4wq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EAD6-76DF-4274-B0FE-3EA714ED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3055</Words>
  <Characters>16501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MLM</dc:creator>
  <cp:lastModifiedBy>Elaine</cp:lastModifiedBy>
  <cp:revision>2</cp:revision>
  <cp:lastPrinted>2016-08-19T23:50:00Z</cp:lastPrinted>
  <dcterms:created xsi:type="dcterms:W3CDTF">2018-11-12T21:53:00Z</dcterms:created>
  <dcterms:modified xsi:type="dcterms:W3CDTF">2018-11-12T21:53:00Z</dcterms:modified>
</cp:coreProperties>
</file>