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56" w:rsidRPr="00813556" w:rsidRDefault="00AD2969" w:rsidP="008972D4">
      <w:pPr>
        <w:spacing w:afterLines="10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</w:t>
      </w:r>
      <w:r w:rsidRPr="00AD2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 Revolução Soviética à ascensão do stalinismo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o</w:t>
      </w:r>
      <w:r w:rsidR="003671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 altos e baixos da luta de classes e da consciência de classe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na Rússia</w:t>
      </w:r>
    </w:p>
    <w:p w:rsidR="00504678" w:rsidRPr="003671B9" w:rsidRDefault="00813556" w:rsidP="008972D4">
      <w:pPr>
        <w:spacing w:afterLines="10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D29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Resenha de </w:t>
      </w:r>
      <w:r w:rsidR="002F75E7" w:rsidRPr="00AD296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MURPHY, Kevin. </w:t>
      </w:r>
      <w:r w:rsidR="002F75E7" w:rsidRPr="008135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Revolution and Counterrevolution: class struggle in a Moscow metal factory</w:t>
      </w:r>
      <w:r w:rsidR="002F75E7" w:rsidRPr="0081355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r w:rsidR="002F75E7" w:rsidRPr="00813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New York, Oxford: Bergham, 2005.</w:t>
      </w:r>
    </w:p>
    <w:p w:rsidR="002F75E7" w:rsidRDefault="002F75E7" w:rsidP="008972D4">
      <w:pPr>
        <w:spacing w:afterLines="10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678">
        <w:rPr>
          <w:rFonts w:ascii="Times New Roman" w:hAnsi="Times New Roman" w:cs="Times New Roman"/>
          <w:sz w:val="24"/>
          <w:szCs w:val="24"/>
          <w:shd w:val="clear" w:color="auto" w:fill="FFFFFF"/>
        </w:rPr>
        <w:t>Marcio Lauria Monteiro</w:t>
      </w:r>
      <w:r w:rsidRPr="00504678">
        <w:rPr>
          <w:rStyle w:val="Refdenotaderodap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footnoteReference w:id="3"/>
      </w:r>
    </w:p>
    <w:p w:rsidR="003B2C64" w:rsidRDefault="000E72D7" w:rsidP="003B2C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Publicad</w:t>
      </w:r>
      <w:r w:rsidR="0081355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2005 </w:t>
      </w:r>
      <w:r w:rsidR="00836FD1">
        <w:rPr>
          <w:rFonts w:ascii="Times New Roman" w:eastAsia="Times New Roman" w:hAnsi="Times New Roman" w:cs="Times New Roman"/>
          <w:sz w:val="24"/>
          <w:szCs w:val="24"/>
          <w:lang w:eastAsia="pt-BR"/>
        </w:rPr>
        <w:t>pela editora Bergham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135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livro</w:t>
      </w:r>
      <w:r w:rsidR="003B2C64" w:rsidRPr="00637CC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Revolution andCounterrevolution: classstruggle in a Moscow metal factory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>, de</w:t>
      </w:r>
      <w:r w:rsidR="008135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autoria de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Kevin Murphy, 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fruto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 realizada </w:t>
      </w:r>
      <w:r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sob os auspícios do Departamento de História Comparada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BrandeisUniversity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(EUA)e </w:t>
      </w:r>
      <w:r w:rsidR="00836FD1">
        <w:rPr>
          <w:rFonts w:ascii="Times New Roman" w:eastAsia="Times New Roman" w:hAnsi="Times New Roman" w:cs="Times New Roman"/>
          <w:sz w:val="24"/>
          <w:szCs w:val="24"/>
          <w:lang w:eastAsia="pt-BR"/>
        </w:rPr>
        <w:t>lauread</w:t>
      </w:r>
      <w:r w:rsidR="00423B3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836F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r w:rsidR="00A80A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Prêmio Tamara e Isaac </w:t>
      </w:r>
      <w:r w:rsidR="00A80A95" w:rsidRP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Deuts</w:t>
      </w:r>
      <w:r w:rsidRP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A80A95" w:rsidRP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P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er</w:t>
      </w:r>
      <w:r w:rsidR="00A80A95" w:rsidRP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atribuído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nualmente a</w:t>
      </w:r>
      <w:r w:rsidR="00836F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obras </w:t>
      </w:r>
      <w:r w:rsidR="00836FD1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alicerçadas na tradição</w:t>
      </w:r>
      <w:r w:rsidR="00836FD1">
        <w:rPr>
          <w:rFonts w:ascii="Times New Roman" w:eastAsia="Times New Roman" w:hAnsi="Times New Roman" w:cs="Times New Roman"/>
          <w:sz w:val="24"/>
          <w:szCs w:val="24"/>
          <w:lang w:eastAsia="pt-BR"/>
        </w:rPr>
        <w:t>marxis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135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Infelizmente, e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stá entre </w:t>
      </w:r>
      <w:r w:rsid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>s muitas obras sobre a Revolução Soviética e história da URSS</w:t>
      </w:r>
      <w:r w:rsid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o leitor brasileiro deixa de ter acesso </w:t>
      </w:r>
      <w:r w:rsid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devido às </w:t>
      </w:r>
      <w:r w:rsidR="00423B37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orientações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editoria</w:t>
      </w:r>
      <w:r w:rsid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 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privilegiam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materiais anticomunistas</w:t>
      </w:r>
      <w:r w:rsidR="00813556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ficou mais uma vez claro no centenário desse evento</w:t>
      </w:r>
      <w:r w:rsidR="00813556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4"/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576DB" w:rsidRPr="00504678" w:rsidRDefault="000E72D7" w:rsidP="005046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Murphy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leciona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História da Rússia na Universityof Massachusetts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Boston</w:t>
      </w:r>
      <w:r w:rsidR="00433E5A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>EUA</w:t>
      </w:r>
      <w:r w:rsidR="005F05A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>se mantém um pesquisador ativo</w:t>
      </w:r>
      <w:r w:rsidRPr="00423B37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intervindo em debates como sobre o lugar das Teses de Abril no desenvolvimento teórico e estratégico de Lenin e do Partido Bolchevique, ou sobre as análises de Leon Trotski acerca da URSS</w:t>
      </w:r>
      <w:r w:rsidR="00813556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5"/>
      </w:r>
      <w:r w:rsidR="00433E5A" w:rsidRPr="00423B3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</w:t>
      </w:r>
      <w:r w:rsid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ou uma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série 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artigos 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>a Revolução Soviética</w:t>
      </w:r>
      <w:r w:rsidR="006155B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publicada ao longo de 2017 no blog da revista </w:t>
      </w:r>
      <w:r w:rsidRPr="003671B9">
        <w:rPr>
          <w:rFonts w:ascii="Times New Roman" w:hAnsi="Times New Roman"/>
          <w:i/>
          <w:sz w:val="24"/>
        </w:rPr>
        <w:t>Jacobin</w:t>
      </w:r>
      <w:r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(EUA), da qual participouum amplo leque de especialistas, e que foi traduzida para diversas línguas (</w:t>
      </w:r>
      <w:r w:rsidR="003B2C64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difusão </w:t>
      </w:r>
      <w:r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no Brasil</w:t>
      </w:r>
      <w:r w:rsidR="00433E5A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feita pelo blog Junho</w:t>
      </w:r>
      <w:r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Pr="003671B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33E5A" w:rsidRPr="003671B9">
        <w:rPr>
          <w:rFonts w:ascii="Times New Roman" w:eastAsia="Times New Roman" w:hAnsi="Times New Roman" w:cs="Times New Roman"/>
          <w:sz w:val="24"/>
          <w:szCs w:val="24"/>
          <w:lang w:eastAsia="pt-BR"/>
        </w:rPr>
        <w:t>demais,</w:t>
      </w:r>
      <w:r w:rsidRPr="00367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Murphy tem se tornado conhecido do público marxista brasileiro</w:t>
      </w:r>
      <w:r w:rsidR="003671B9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 de</w:t>
      </w:r>
      <w:r w:rsidRPr="00367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artigos traduzidos </w:t>
      </w:r>
      <w:r w:rsidR="005F05AE" w:rsidRPr="00367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 </w:t>
      </w:r>
      <w:r w:rsidRPr="003671B9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 Outubro</w:t>
      </w:r>
      <w:r w:rsidR="003671B9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6"/>
      </w:r>
      <w:r w:rsidRPr="00367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também por sua recente passagem </w:t>
      </w:r>
      <w:r w:rsidR="005F05AE" w:rsidRPr="00367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país, </w:t>
      </w:r>
      <w:r w:rsidRPr="003671B9">
        <w:rPr>
          <w:rFonts w:ascii="Times New Roman" w:eastAsia="Times New Roman" w:hAnsi="Times New Roman" w:cs="Times New Roman"/>
          <w:sz w:val="24"/>
          <w:szCs w:val="24"/>
          <w:lang w:eastAsia="pt-BR"/>
        </w:rPr>
        <w:t>em eventos relacionados ao centenário.</w:t>
      </w:r>
    </w:p>
    <w:p w:rsidR="006942F3" w:rsidRPr="00504678" w:rsidRDefault="005F05AE" w:rsidP="0069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Em </w:t>
      </w:r>
      <w:r w:rsidR="000E72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Revolution andCounterrevolution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 “o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primeiro estudo sistemático e baseado em arquivos a cobrir a era revolucionária”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(p. 1) – </w:t>
      </w:r>
      <w:r w:rsidR="00813556">
        <w:rPr>
          <w:rFonts w:ascii="Times New Roman" w:eastAsia="Times New Roman" w:hAnsi="Times New Roman" w:cs="Times New Roman"/>
          <w:sz w:val="24"/>
          <w:szCs w:val="24"/>
          <w:lang w:eastAsia="pt-BR"/>
        </w:rPr>
        <w:t>Murphy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se propõe a “responder as questões centrais sobre o caráter da Revolução Russa e as origens do sistema stalinista” (p. 1), através de um “estudo de caso sobre a atitude dos trabalhadores em relação à Revolução e sua aquiescência</w:t>
      </w:r>
      <w:r w:rsidR="00A657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apoio ao 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do stalinismo” (p. 5)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tal</w:t>
      </w:r>
      <w:r w:rsidR="00A80A95">
        <w:rPr>
          <w:rFonts w:ascii="Times New Roman" w:eastAsia="Times New Roman" w:hAnsi="Times New Roman" w:cs="Times New Roman"/>
          <w:sz w:val="24"/>
          <w:szCs w:val="24"/>
          <w:lang w:eastAsia="pt-BR"/>
        </w:rPr>
        <w:t>, foca na Fábrica Guzhon</w:t>
      </w:r>
      <w:r w:rsid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Companhia Metalúrgica de Moscou, </w:t>
      </w:r>
      <w:r w:rsidR="00B97A9F">
        <w:rPr>
          <w:rFonts w:ascii="Times New Roman" w:eastAsia="Times New Roman" w:hAnsi="Times New Roman" w:cs="Times New Roman"/>
          <w:sz w:val="24"/>
          <w:szCs w:val="24"/>
          <w:lang w:eastAsia="pt-BR"/>
        </w:rPr>
        <w:t>renomeada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Fábrica Foice e Mar</w:t>
      </w:r>
      <w:r w:rsidR="00306D38">
        <w:rPr>
          <w:rFonts w:ascii="Times New Roman" w:eastAsia="Times New Roman" w:hAnsi="Times New Roman" w:cs="Times New Roman"/>
          <w:sz w:val="24"/>
          <w:szCs w:val="24"/>
          <w:lang w:eastAsia="pt-BR"/>
        </w:rPr>
        <w:t>telo</w:t>
      </w:r>
      <w:r w:rsidR="00B97A9F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revolução</w:t>
      </w:r>
      <w:r w:rsid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, analisando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ampla gama de materiais, 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que vão dos últimos anos do regime czarista até o fim do Primeiro Plano Quinquenal (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32), </w:t>
      </w:r>
      <w:r w:rsidR="00B97A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maior destaque para 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o período da Nova Política Econômica (1921-28).</w:t>
      </w:r>
      <w:r w:rsid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peso maior dado </w:t>
      </w:r>
      <w:r w:rsidR="00813556">
        <w:rPr>
          <w:rFonts w:ascii="Times New Roman" w:eastAsia="Times New Roman" w:hAnsi="Times New Roman" w:cs="Times New Roman"/>
          <w:sz w:val="24"/>
          <w:szCs w:val="24"/>
          <w:lang w:eastAsia="pt-BR"/>
        </w:rPr>
        <w:t>a esse período</w:t>
      </w:r>
      <w:r w:rsid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justificado </w:t>
      </w:r>
      <w:r w:rsidR="006942F3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 tratar</w:t>
      </w:r>
      <w:r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, ao lado de 1917,</w:t>
      </w:r>
      <w:r w:rsidR="006942F3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período mais rico em termos de documentação acerca dos ânimos </w:t>
      </w:r>
      <w:r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políticos </w:t>
      </w:r>
      <w:r w:rsidR="006942F3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da classe trabalhadora, e també</w:t>
      </w:r>
      <w:r w:rsidR="00813556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6942F3"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ser o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 em que </w:t>
      </w:r>
      <w:r w:rsidR="006942F3"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>emerg</w:t>
      </w:r>
      <w:r w:rsid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iu</w:t>
      </w:r>
      <w:r w:rsidR="006942F3"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stalinismo, </w:t>
      </w:r>
      <w:r w:rsid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6942F3" w:rsidRPr="00504678">
        <w:rPr>
          <w:rFonts w:ascii="Times New Roman" w:eastAsia="Times New Roman" w:hAnsi="Times New Roman" w:cs="Times New Roman"/>
          <w:sz w:val="24"/>
          <w:szCs w:val="24"/>
          <w:lang w:eastAsia="pt-BR"/>
        </w:rPr>
        <w:t>fruto da crise social decorrente das crescentes contradições dessa política.</w:t>
      </w:r>
    </w:p>
    <w:p w:rsidR="006942F3" w:rsidRPr="006942F3" w:rsidRDefault="00B97A9F" w:rsidP="0069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fontes</w:t>
      </w:r>
      <w:r w:rsidR="00F74DFF">
        <w:rPr>
          <w:rFonts w:ascii="Times New Roman" w:eastAsia="Times New Roman" w:hAnsi="Times New Roman" w:cs="Times New Roman"/>
          <w:sz w:val="24"/>
          <w:szCs w:val="24"/>
          <w:lang w:eastAsia="pt-BR"/>
        </w:rPr>
        <w:t>, de um volume impressionante,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foramcoletad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em </w:t>
      </w:r>
      <w:r w:rsidR="003B2C64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oito centros de arquivos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muitos de acesso recente (pós colapso</w:t>
      </w:r>
      <w:r w:rsidR="003B2C64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URSS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Murphy busca traçar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>, através del</w:t>
      </w:r>
      <w:r w:rsidR="00F74DF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pt-BR"/>
        </w:rPr>
        <w:t>s,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“as flutuações no ativismo de chão de fábrica” e trazer “à tona as vozes dos próprios trabalhadores” (p. 1). </w:t>
      </w:r>
      <w:r w:rsidR="00F74DFF">
        <w:rPr>
          <w:rFonts w:ascii="Times New Roman" w:eastAsia="Times New Roman" w:hAnsi="Times New Roman" w:cs="Times New Roman"/>
          <w:sz w:val="24"/>
          <w:szCs w:val="24"/>
          <w:lang w:eastAsia="pt-BR"/>
        </w:rPr>
        <w:t>Trata-se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relatórios das polícias políticas, </w:t>
      </w:r>
      <w:r w:rsidR="005F05AE">
        <w:rPr>
          <w:rFonts w:ascii="Times New Roman" w:eastAsia="Times New Roman" w:hAnsi="Times New Roman" w:cs="Times New Roman"/>
          <w:sz w:val="24"/>
          <w:szCs w:val="24"/>
          <w:lang w:eastAsia="pt-BR"/>
        </w:rPr>
        <w:t>jornais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atas de reuniões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de variadas instâncias do Partido Comunista</w:t>
      </w:r>
      <w:r w:rsidR="00F74D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vão da direção à </w:t>
      </w:r>
      <w:r w:rsidR="005F05AE">
        <w:rPr>
          <w:rFonts w:ascii="Times New Roman" w:eastAsia="Times New Roman" w:hAnsi="Times New Roman" w:cs="Times New Roman"/>
          <w:sz w:val="24"/>
          <w:szCs w:val="24"/>
          <w:lang w:eastAsia="pt-BR"/>
        </w:rPr>
        <w:t>célula atuante na fábrica</w:t>
      </w:r>
      <w:r w:rsidR="00F74D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942F3"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memórias de trabalhadores e notas anônimas que entregavam aos oradores durante reuniões</w:t>
      </w:r>
      <w:r w:rsidR="00F74D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42F3" w:rsidRPr="006942F3" w:rsidRDefault="006942F3" w:rsidP="0069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escolha 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fábrica em questão para esse estudo é justificada </w:t>
      </w:r>
      <w:r w:rsidR="00527636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 tratar da principal metalúrgica de Moscou durante o período abordado</w:t>
      </w:r>
      <w:r w:rsidR="00F74DFF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527636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porque </w:t>
      </w: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o local de trabalho naquela sociedade era onde residia “o próprio coração da vida cívica”, agindo como “centro organizador da comunidade para distribuição de alimentação e moradia, bem como para as atividades de lazer”</w:t>
      </w:r>
      <w:r w:rsidR="00F773A4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(p. 5)</w:t>
      </w:r>
      <w:r w:rsidR="002E66AD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. F</w:t>
      </w:r>
      <w:r w:rsidR="00433E5A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oi </w:t>
      </w: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nas fábricas </w:t>
      </w:r>
      <w:r w:rsidR="00F773A4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onde se desenvolveu a consciência de classe dos trabalhadores</w:t>
      </w: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, de forma que tanto o czarismo, quanto o</w:t>
      </w:r>
      <w:r w:rsidR="00F74DFF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regime</w:t>
      </w:r>
      <w:r w:rsidR="00F74DFF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773A4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pós </w:t>
      </w:r>
      <w:r w:rsidR="00813556">
        <w:rPr>
          <w:rFonts w:ascii="Times New Roman" w:eastAsia="Times New Roman" w:hAnsi="Times New Roman" w:cs="Times New Roman"/>
          <w:sz w:val="24"/>
          <w:szCs w:val="24"/>
          <w:lang w:eastAsia="pt-BR"/>
        </w:rPr>
        <w:t>1917</w:t>
      </w:r>
      <w:r w:rsidR="00F773A4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,a elas dedicaram grande atenção.</w:t>
      </w:r>
    </w:p>
    <w:p w:rsidR="006942F3" w:rsidRPr="006942F3" w:rsidRDefault="006942F3" w:rsidP="0069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longo dos capítulos, Murphy intercala citações e referências a essas fontes com informações mais gerais sobre os rumos da revolução e do regime que ela originou, de forma a construir um </w:t>
      </w:r>
      <w:r w:rsidR="00F77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rico 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quadro</w:t>
      </w:r>
      <w:r w:rsidR="00F773A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não se limita à escala </w:t>
      </w:r>
      <w:r w:rsidR="005114EC">
        <w:rPr>
          <w:rFonts w:ascii="Times New Roman" w:eastAsia="Times New Roman" w:hAnsi="Times New Roman" w:cs="Times New Roman"/>
          <w:sz w:val="24"/>
          <w:szCs w:val="24"/>
          <w:lang w:eastAsia="pt-BR"/>
        </w:rPr>
        <w:t>microscópica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11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ponto de partida </w:t>
      </w:r>
      <w:r w:rsidR="00511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alguns 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estudos pré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abertura dos arquivos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compreend</w:t>
      </w:r>
      <w:r w:rsidR="005114EC">
        <w:rPr>
          <w:rFonts w:ascii="Times New Roman" w:eastAsia="Times New Roman" w:hAnsi="Times New Roman" w:cs="Times New Roman"/>
          <w:sz w:val="24"/>
          <w:szCs w:val="24"/>
          <w:lang w:eastAsia="pt-BR"/>
        </w:rPr>
        <w:t>iam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stalinismo como um processo de perda de poder dos trabalhadores</w:t>
      </w:r>
      <w:r w:rsidR="00511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estudos esses </w:t>
      </w:r>
      <w:r w:rsidR="005114EC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associados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escola de História Social da revolução</w:t>
      </w:r>
      <w:r w:rsidR="00F74DF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surgida nas décadas de 1960-70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autointitulada “revisionista”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(não confundir com o revisionismo liberal e anticomunista dos anos 1970 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em diante, que busca resgatar a historiografia da Guerra Fria contestada pela História Social)</w:t>
      </w:r>
      <w:r w:rsidR="00511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Sua característica central era uma visão 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“desde baixo”, tomando as classes subalternas como protagonistas.</w:t>
      </w:r>
      <w:r w:rsidR="00B16CB9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7"/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>Assim</w:t>
      </w: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, nomes como S. A. Smith, Alexander Rabinowitch, David Mandel, Moshe Lewin, Stephen Cohen, dentre outros, aparecem com certa frequência nas detalhadas notas que acompanham cada capítulo.</w:t>
      </w:r>
    </w:p>
    <w:p w:rsidR="006942F3" w:rsidRDefault="006942F3" w:rsidP="005046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Mas Murphy vai além de um tributo aos expoentes da escola “revisionista”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 História Social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. Quase todos os capítulos são perpassados por debates historiográficos, através dos quais o autor se confronta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 lado, com a historiografia anticomunista gestada no contexto da Guerra Fria, </w:t>
      </w: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que, através de nomes como Richard Pipes e Robert Conquest,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consolidou a “tese da continuidade” – segundo a qual haveria uma relação de continuidade direta, ou </w:t>
      </w:r>
      <w:r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consequência lógica</w:t>
      </w:r>
      <w:r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entre </w:t>
      </w:r>
      <w:r w:rsidR="00A6574D" w:rsidRPr="00A657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bolchevismo e </w:t>
      </w:r>
      <w:r w:rsidRPr="00A6574D">
        <w:rPr>
          <w:rFonts w:ascii="Times New Roman" w:eastAsia="Times New Roman" w:hAnsi="Times New Roman" w:cs="Times New Roman"/>
          <w:sz w:val="24"/>
          <w:szCs w:val="24"/>
          <w:lang w:eastAsia="pt-BR"/>
        </w:rPr>
        <w:t>stalinismo,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supostamente 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marcados por um projeto “totalitário” 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submissão dos trabalhadores a 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>um “terror”</w:t>
      </w:r>
      <w:r w:rsidR="002E66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permanente</w:t>
      </w:r>
      <w:r w:rsidR="00630B06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. E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outro lado, com os frutos mais recentes da escola “revisionista”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 História Social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pass</w:t>
      </w:r>
      <w:r w:rsidR="00F74DFF">
        <w:rPr>
          <w:rFonts w:ascii="Times New Roman" w:eastAsia="Times New Roman" w:hAnsi="Times New Roman" w:cs="Times New Roman"/>
          <w:sz w:val="24"/>
          <w:szCs w:val="24"/>
          <w:lang w:eastAsia="pt-BR"/>
        </w:rPr>
        <w:t>aram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contrapor à tese de uma classe trabalhadora “aterrorizada” pelo stalinismo a de uma classe trabalhadora “impressionada”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ele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teria dado apoio às suas </w:t>
      </w: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políticas – entre os quais Murphy cita 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nomes como </w:t>
      </w: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William Chase, ArchGetty, Lynne Viola e Sheila Fitzpratrick.</w:t>
      </w:r>
      <w:r w:rsid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Ele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critica 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ambas as teses por 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carecem de sustentação empírica, 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baseadas em 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especulações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infundadas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>, auxiliadas pela dificuldade de acesso aos arquivos</w:t>
      </w:r>
      <w:r w:rsidRPr="006942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67BC2" w:rsidRDefault="00630B06" w:rsidP="005276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contraposição a ambas,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Murphy </w:t>
      </w:r>
      <w:r w:rsidR="00511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constrói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detalhada história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dos a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ltos e baixos da luta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da consciência </w:t>
      </w:r>
      <w:r w:rsidR="003576FF">
        <w:rPr>
          <w:rFonts w:ascii="Times New Roman" w:eastAsia="Times New Roman" w:hAnsi="Times New Roman" w:cs="Times New Roman"/>
          <w:sz w:val="24"/>
          <w:szCs w:val="24"/>
          <w:lang w:eastAsia="pt-BR"/>
        </w:rPr>
        <w:t>de classe dos trabalhadores russos, traduzidas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ações coletivas, senso de solidariedade </w:t>
      </w:r>
      <w:r w:rsidR="0035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igualitarismo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e confiança na própria força.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1917 </w:t>
      </w:r>
      <w:r w:rsidR="0035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o zênite dessa consciência e </w:t>
      </w:r>
      <w:r w:rsidR="003576FF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luta</w:t>
      </w:r>
      <w:r w:rsidR="00527636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, expressa</w:t>
      </w:r>
      <w:r w:rsidR="003576FF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E66AD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27636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sobretudo</w:t>
      </w:r>
      <w:r w:rsidR="002E66AD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27636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greves de massas, </w:t>
      </w:r>
      <w:r w:rsidR="00527636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527636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criação 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recuperação de órgãos classistas como os comitês de fábrica (que permitiram aos trabalhadores controlarem a produção e sua gestão) e os </w:t>
      </w:r>
      <w:r w:rsidR="00527636" w:rsidRPr="0052763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soviets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>(“conselhos”),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grande adesão 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espaços políticos coletivos, como assembleias e reuniões de massas dentro e fora das fábricas</w:t>
      </w:r>
      <w:r w:rsidR="0035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culminando no projeto de um governo próprio dos trabalhadores. Todavia,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a Guerra Civil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(1918-21)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conta do colapso das ainda nascentes instituições estatais e também da economia,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ocorreu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certa desintegração dessa unidade classista,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substituída 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medidas de sobrevivência individual (roubo e furto, êxodo para o campo, absenteísmo no trabalho, recusa a trabalhar), apesar do 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engajamento </w:t>
      </w:r>
      <w:r w:rsid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dos trabalhadores no conflito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na form</w:t>
      </w:r>
      <w:r w:rsidR="00527636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 voluntários para o </w:t>
      </w:r>
      <w:r w:rsidR="00527636" w:rsidRPr="00630B0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front</w:t>
      </w:r>
      <w:r w:rsidR="00527636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arrecadação de fundos para o </w:t>
      </w:r>
      <w:r w:rsidR="00646F0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xército</w:t>
      </w:r>
      <w:r w:rsidR="00646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Vermelho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B1EC4" w:rsidRDefault="003576FF" w:rsidP="005046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os primeiros anos da NEP (1922-23),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início da recuperação econômica,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houve certa recuperação da atuação coletiva, com retorno da ação grevista e </w:t>
      </w:r>
      <w:r w:rsidR="00527636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atuação de órgãos como os comitês de fábrica,</w:t>
      </w:r>
      <w:r w:rsidR="00527636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</w:t>
      </w:r>
      <w:r w:rsidR="002E66AD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2E66AD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não na mesma intensidade</w:t>
      </w:r>
      <w:r w:rsidR="002E66AD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527636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1917</w:t>
      </w:r>
      <w:r w:rsidR="00527636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anos seguintes (1924-26), observa-se uma </w:t>
      </w:r>
      <w:r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queda n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número de </w:t>
      </w:r>
      <w:r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greves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 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>Murphy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explica </w:t>
      </w:r>
      <w:r w:rsidR="00E67BC2">
        <w:rPr>
          <w:rFonts w:ascii="Times New Roman" w:eastAsia="Times New Roman" w:hAnsi="Times New Roman" w:cs="Times New Roman"/>
          <w:sz w:val="24"/>
          <w:szCs w:val="24"/>
          <w:lang w:eastAsia="pt-BR"/>
        </w:rPr>
        <w:t>sustenta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E67B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um “acordo difícil” foi firmado entre a classe trabalhadora, as lideranças d</w:t>
      </w:r>
      <w:r w:rsidR="00E67BC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órgãos como comitês de fábricas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sindicatos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(que tinham dupla função, sendo canal da</w:t>
      </w:r>
      <w:r w:rsidRPr="0035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insatisfação dos trabalhadores e instrumento de persuasão do Estado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e o Estado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soviético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predominando mecanismos de arbitragem </w:t>
      </w:r>
      <w:r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(como cartas de acordo coletivo) </w:t>
      </w:r>
      <w:r w:rsidR="00527636" w:rsidRP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lugar das ações de confronto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 em geral favoráveis para os trabalhadores</w:t>
      </w:r>
      <w:r w:rsidR="00E67B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(tese </w:t>
      </w:r>
      <w:r w:rsidR="00E67BC2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originalmente </w:t>
      </w:r>
      <w:r w:rsidR="00E67BC2">
        <w:rPr>
          <w:rFonts w:ascii="Times New Roman" w:eastAsia="Times New Roman" w:hAnsi="Times New Roman" w:cs="Times New Roman"/>
          <w:sz w:val="24"/>
          <w:szCs w:val="24"/>
          <w:lang w:eastAsia="pt-BR"/>
        </w:rPr>
        <w:t>formulada por E. H. Carr e R. W. Davies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67B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qual </w:t>
      </w:r>
      <w:r w:rsidR="00F74DFF">
        <w:rPr>
          <w:rFonts w:ascii="Times New Roman" w:eastAsia="Times New Roman" w:hAnsi="Times New Roman" w:cs="Times New Roman"/>
          <w:sz w:val="24"/>
          <w:szCs w:val="24"/>
          <w:lang w:eastAsia="pt-BR"/>
        </w:rPr>
        <w:t>Murphy</w:t>
      </w:r>
      <w:r w:rsidR="00E67B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fornece considerável comprovação)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tal período</w:t>
      </w:r>
      <w:r w:rsidR="008D768A" w:rsidRPr="00630B0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era possível observar 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>no chão da fábrica</w:t>
      </w:r>
      <w:r w:rsidR="008D768A" w:rsidRPr="008D768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>debate político aberto, reuniões de massa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>, campanhas internacionalistas, dentre outros indícios de engajamento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trabalhadores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>. Mas tal</w:t>
      </w:r>
      <w:r w:rsidR="00E67BC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acordo</w:t>
      </w:r>
      <w:r w:rsidR="00E67BC2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rompido com o impulso produtivista e industrializante com o qual o </w:t>
      </w:r>
      <w:r w:rsidR="00B16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nascente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regimestalinista 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respondeu ao esgotamento da NEP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incapacidade de </w:t>
      </w:r>
      <w:r w:rsidR="009B1EC4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superar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índices de produção pré Primeira Guerra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recuperados em 1926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>– eà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crise econômica e social que ele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engendrou</w:t>
      </w:r>
      <w:r w:rsidR="00527636" w:rsidRPr="005276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A24AE" w:rsidRDefault="005D3711" w:rsidP="005D37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433E5A">
        <w:rPr>
          <w:rFonts w:ascii="Times New Roman" w:eastAsia="Times New Roman" w:hAnsi="Times New Roman" w:cs="Times New Roman"/>
          <w:sz w:val="24"/>
          <w:szCs w:val="24"/>
          <w:lang w:eastAsia="pt-BR"/>
        </w:rPr>
        <w:t>Murphy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foi 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esse impulso que levou o regime stalinista a um uso crescente de coerção, de 1926 em diante, conforme suas políticas de aumento de produtividade falhavam (propaganda, brigadas de choque, “competição socialista”, bônus estatal)</w:t>
      </w:r>
      <w:r w:rsidR="00140A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em especial, a partir de 1928, </w:t>
      </w:r>
      <w:r w:rsidR="00646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ele </w:t>
      </w:r>
      <w:r w:rsidR="00140A4D">
        <w:rPr>
          <w:rFonts w:ascii="Times New Roman" w:eastAsia="Times New Roman" w:hAnsi="Times New Roman" w:cs="Times New Roman"/>
          <w:sz w:val="24"/>
          <w:szCs w:val="24"/>
          <w:lang w:eastAsia="pt-BR"/>
        </w:rPr>
        <w:t>“ano decisivo”, marcado por revoltas no campo e greves e protestos nas cidades, contra as políticas de requisição forçada da produção agrícola e de racionamento de alimentos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3711" w:rsidRDefault="00E46530" w:rsidP="005D37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regime conseguiu 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elimin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oposição organizada, empurr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dissenso e as críticas abertas para a clandestinidade e 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assegurar 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o fim das greves, ao mesmo tempo em que reduziu os salários e aumentou as horas de trabalho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, fazendo os trabalhadores (e camponeses) pagarem pelo aumento da produtividade e pela expansão industrial do 1º Plano Quinquenal (19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>28-32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tal, operou uma transformação do Partido Comunista e dos sindicatos e órgãos de local de trabalho em </w:t>
      </w:r>
      <w:r w:rsidR="005D3711" w:rsidRPr="003576FF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instrumento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D3711" w:rsidRPr="0035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aumento da produtividade e da disciplinarização da força de trabalho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fazendo com que os canais de arbitragem deixassem de funcionar em prol dos trabalhadores. 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Com isso, o</w:t>
      </w:r>
      <w:r w:rsidR="005D3711" w:rsidRPr="003576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D3711" w:rsidRPr="003576F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descontentamento crescente e generalizado nas fábricas assumiu cada vez mais a forma de “ameaças individuais”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“estratégias de sobrevivência”</w:t>
      </w:r>
      <w:r w:rsidR="005D3711" w:rsidRPr="003576FF">
        <w:rPr>
          <w:rFonts w:ascii="Times New Roman" w:eastAsia="Times New Roman" w:hAnsi="Times New Roman" w:cs="Times New Roman"/>
          <w:sz w:val="24"/>
          <w:szCs w:val="24"/>
          <w:lang w:eastAsia="pt-BR"/>
        </w:rPr>
        <w:t>, ao invés de ações coletivas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B1EC4" w:rsidRPr="009B1EC4" w:rsidRDefault="005D3711" w:rsidP="005D37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odavia, </w:t>
      </w:r>
      <w:r w:rsid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Murphy sustenta 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propaganda e terror não foram os instrumentos principais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usados pelo 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>regime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stalinista</w:t>
      </w:r>
      <w:r w:rsidR="008D768A">
        <w:rPr>
          <w:rFonts w:ascii="Times New Roman" w:eastAsia="Times New Roman" w:hAnsi="Times New Roman" w:cs="Times New Roman"/>
          <w:sz w:val="24"/>
          <w:szCs w:val="24"/>
          <w:lang w:eastAsia="pt-BR"/>
        </w:rPr>
        <w:t>, nem os mais efetivos.</w:t>
      </w:r>
      <w:r w:rsidR="00FC3F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entra</w:t>
      </w:r>
      <w:r w:rsidR="00FC3F69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>teriam sido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o controle sobre a comida, o medo do desemprego e a formação de uma minoria leal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dentro das fábricas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materialmente privilegiada. A repressão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seria 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era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então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sintoma da fraqueza do 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>stalinismo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não da sua força, e 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foi capaz de tornar 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a força de trabalho “dócil”</w:t>
      </w:r>
      <w:r w:rsid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, apesar do dissenso ter assumido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 vez mais </w:t>
      </w:r>
      <w:r w:rsidR="00E46530">
        <w:rPr>
          <w:rFonts w:ascii="Times New Roman" w:eastAsia="Times New Roman" w:hAnsi="Times New Roman" w:cs="Times New Roman"/>
          <w:sz w:val="24"/>
          <w:szCs w:val="24"/>
          <w:lang w:eastAsia="pt-BR"/>
        </w:rPr>
        <w:t>individualista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06A1" w:rsidRDefault="004B7CFB" w:rsidP="005046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Murphy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ressalta que, ao longo desses altos e </w:t>
      </w:r>
      <w:r w:rsidR="005D3711" w:rsidRPr="00A6574D">
        <w:rPr>
          <w:rFonts w:ascii="Times New Roman" w:eastAsia="Times New Roman" w:hAnsi="Times New Roman" w:cs="Times New Roman"/>
          <w:sz w:val="24"/>
          <w:szCs w:val="24"/>
          <w:lang w:eastAsia="pt-BR"/>
        </w:rPr>
        <w:t>bai</w:t>
      </w:r>
      <w:r w:rsidR="00A6574D" w:rsidRPr="00A6574D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5D3711" w:rsidRPr="00A6574D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bookmarkStart w:id="0" w:name="_GoBack"/>
      <w:bookmarkEnd w:id="0"/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>, a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s divisões entre os trabalhadores cresceram ou diminuíram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>, com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homens e mulheres, jovens e velhos, recém vindos do campo ou não</w:t>
      </w:r>
      <w:r w:rsidR="00703CD2">
        <w:rPr>
          <w:rFonts w:ascii="Times New Roman" w:eastAsia="Times New Roman" w:hAnsi="Times New Roman" w:cs="Times New Roman"/>
          <w:sz w:val="24"/>
          <w:szCs w:val="24"/>
          <w:lang w:eastAsia="pt-BR"/>
        </w:rPr>
        <w:t>, aparecendo e desparecendo demandas igualitaristas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D768A" w:rsidRPr="00FC3F6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longo dessas mudanças, 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os revolucionários e oposicionistas atuaram enquanto “catalizadores” do dissenso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D3711" w:rsidRP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fornecendo voz a uma larga camada de trabalhadores</w:t>
      </w:r>
      <w:r w:rsidR="009B1EC4" w:rsidRPr="009B1EC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7636" w:rsidRDefault="005D3711" w:rsidP="005046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Tudo isso é complementado com grande riqueza de detalhes e abordagem de aspectos variados dess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história, como os grupos de oposição que existiram dentro e fora do Partido Comunista</w:t>
      </w:r>
      <w:r w:rsidR="00703CD2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(em especial Oposição Unificada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703CD2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1926-28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, focada em demandas por democracia e melhorarias para os trabalhadores</w:t>
      </w:r>
      <w:r w:rsidR="00703CD2"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mudanças na composição social da força de trabalho</w:t>
      </w:r>
      <w:r w:rsidR="00703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(êxodo rural)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 “contrarrevolução cultural” do stalinismo e seus impactos sobre as mulheres, o alcoolismo, a religiosidade etc.</w:t>
      </w:r>
    </w:p>
    <w:p w:rsidR="00703CD2" w:rsidRDefault="005D3711" w:rsidP="005046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297F">
        <w:rPr>
          <w:rFonts w:ascii="Times New Roman" w:eastAsia="Times New Roman" w:hAnsi="Times New Roman" w:cs="Times New Roman"/>
          <w:sz w:val="24"/>
          <w:szCs w:val="24"/>
          <w:lang w:eastAsia="pt-BR"/>
        </w:rPr>
        <w:t>Por fim, cabe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desacatar que, apesar da </w:t>
      </w:r>
      <w:r w:rsidR="00581168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importância e qualidade da obra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60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relevante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debate acerca da “natureza social” da URSS</w:t>
      </w:r>
      <w:r w:rsidR="00E60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deixado em segundo plano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Murphy deixa clara sua associação às teses de Tony Cliff, militante socialista que rompeu com o trotskismo no fim dos anos 1940</w:t>
      </w:r>
      <w:r w:rsidR="00E60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defende</w:t>
      </w:r>
      <w:r w:rsidR="00E60A13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URSS 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>se transform</w:t>
      </w:r>
      <w:r w:rsidR="00195EC5">
        <w:rPr>
          <w:rFonts w:ascii="Times New Roman" w:eastAsia="Times New Roman" w:hAnsi="Times New Roman" w:cs="Times New Roman"/>
          <w:sz w:val="24"/>
          <w:szCs w:val="24"/>
          <w:lang w:eastAsia="pt-BR"/>
        </w:rPr>
        <w:t>ara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sociedade “capitalista de Estado” e a burocracia gestora (uma “casta parasitária” </w:t>
      </w:r>
      <w:r w:rsidR="00703CD2">
        <w:rPr>
          <w:rFonts w:ascii="Times New Roman" w:eastAsia="Times New Roman" w:hAnsi="Times New Roman" w:cs="Times New Roman"/>
          <w:sz w:val="24"/>
          <w:szCs w:val="24"/>
          <w:lang w:eastAsia="pt-BR"/>
        </w:rPr>
        <w:t>baseada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proletariado, conforme a análise de Trotski) e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“classe dominante”.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Assim</w:t>
      </w:r>
      <w:r w:rsidR="00E60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Murphy </w:t>
      </w:r>
      <w:r w:rsidR="00723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define o stalinismo como </w:t>
      </w:r>
      <w:r w:rsidR="00723272" w:rsidRPr="00723272">
        <w:rPr>
          <w:rFonts w:ascii="Times New Roman" w:eastAsia="Times New Roman" w:hAnsi="Times New Roman" w:cs="Times New Roman"/>
          <w:sz w:val="24"/>
          <w:szCs w:val="24"/>
          <w:lang w:eastAsia="pt-BR"/>
        </w:rPr>
        <w:t>“a tendência e interesse de longo prazo da burocracia estatal conforme ela sedesenvolveu em uma classeexploradora, em oposição ao proletariado”</w:t>
      </w:r>
      <w:r w:rsidR="00723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(p. 7) e um </w:t>
      </w:r>
      <w:r w:rsidR="00723272" w:rsidRPr="00723272">
        <w:rPr>
          <w:rFonts w:ascii="Times New Roman" w:eastAsia="Times New Roman" w:hAnsi="Times New Roman" w:cs="Times New Roman"/>
          <w:sz w:val="24"/>
          <w:szCs w:val="24"/>
          <w:lang w:eastAsia="pt-BR"/>
        </w:rPr>
        <w:t>“sistema político e econômico que, sob todos os critérios possíveis, se mostrava antagônico aos interesses da classe trabalhador</w:t>
      </w:r>
      <w:r w:rsidR="0072327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23272" w:rsidRPr="00723272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723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(p. 2).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Todavia, não dedica espaço para </w:t>
      </w:r>
      <w:r w:rsidR="00344203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</w:t>
      </w:r>
      <w:r w:rsidR="00140A4D">
        <w:rPr>
          <w:rFonts w:ascii="Times New Roman" w:eastAsia="Times New Roman" w:hAnsi="Times New Roman" w:cs="Times New Roman"/>
          <w:sz w:val="24"/>
          <w:szCs w:val="24"/>
          <w:lang w:eastAsia="pt-BR"/>
        </w:rPr>
        <w:t>tais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teses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apresenta-las em detalhes, mesmo tratando-se deteses que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além de marginais, são parte de um </w:t>
      </w:r>
      <w:r w:rsidR="00703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polêmico </w:t>
      </w:r>
      <w:r w:rsidR="004B7CFB">
        <w:rPr>
          <w:rFonts w:ascii="Times New Roman" w:eastAsia="Times New Roman" w:hAnsi="Times New Roman" w:cs="Times New Roman"/>
          <w:sz w:val="24"/>
          <w:szCs w:val="24"/>
          <w:lang w:eastAsia="pt-BR"/>
        </w:rPr>
        <w:t>debate longe deencerrado</w:t>
      </w:r>
      <w:r w:rsidR="00703CD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0052" w:rsidRDefault="00703CD2" w:rsidP="009600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adesão 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às ideias de Cliff 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inclusive </w:t>
      </w:r>
      <w:r w:rsidR="005D3711">
        <w:rPr>
          <w:rFonts w:ascii="Times New Roman" w:eastAsia="Times New Roman" w:hAnsi="Times New Roman" w:cs="Times New Roman"/>
          <w:sz w:val="24"/>
          <w:szCs w:val="24"/>
          <w:lang w:eastAsia="pt-BR"/>
        </w:rPr>
        <w:t>uma inconsistência</w:t>
      </w:r>
      <w:r w:rsidR="00140A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uma vez que 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Murphy </w:t>
      </w:r>
      <w:r w:rsidR="00140A4D">
        <w:rPr>
          <w:rFonts w:ascii="Times New Roman" w:eastAsia="Times New Roman" w:hAnsi="Times New Roman" w:cs="Times New Roman"/>
          <w:sz w:val="24"/>
          <w:szCs w:val="24"/>
          <w:lang w:eastAsia="pt-BR"/>
        </w:rPr>
        <w:t>trata o impulso produtivista adotado pelo stalinismo como um comportamento esperado de uma classe burguesa (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lógica da </w:t>
      </w:r>
      <w:r w:rsidR="00140A4D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7106A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40A4D">
        <w:rPr>
          <w:rFonts w:ascii="Times New Roman" w:eastAsia="Times New Roman" w:hAnsi="Times New Roman" w:cs="Times New Roman"/>
          <w:sz w:val="24"/>
          <w:szCs w:val="24"/>
          <w:lang w:eastAsia="pt-BR"/>
        </w:rPr>
        <w:t>cumulação pelo bem da acumulação, produ</w:t>
      </w:r>
      <w:r w:rsidR="00E60A13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="00140A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bem da produ</w:t>
      </w:r>
      <w:r w:rsidR="00E60A13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="00140A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”),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apaga</w:t>
      </w:r>
      <w:r w:rsidR="00B33FB4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o fato de que a elevação da produtividade e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expansão da industrialização era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sreais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superar o quadro de escassez </w:t>
      </w:r>
      <w:r w:rsidR="003442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garantir a defesa militar 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era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por exemplo, demanda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centra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Oposição de Esqu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>erda e da Oposição Unificada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longo dos anos 1920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. Também fica apagado o fato de que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apesar 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do caráter parasitário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burocracia administrativa, a maior parte do sobreproduto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daquela formação social 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era por ela acumulado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investido em fortalecer o aparato militar, seguir expandindo e melhorando a produção industrial e em garantir condições de subsistência à classe trabalhadora (moradia, saúde, educação, transporte etc.), ainda que longe d</w:t>
      </w:r>
      <w:r w:rsidR="00AA04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padrões 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adequad</w:t>
      </w:r>
      <w:r w:rsidR="00AA04C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A24A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A04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qualidade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Portanto, cabe tratar o stalinismo mais como uma </w:t>
      </w:r>
      <w:r w:rsidR="00140A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desastrosa resposta 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>a um problema que vinha aumentando desde ao menos 1923 (primeira crise da NEP)</w:t>
      </w:r>
      <w:r w:rsidR="00FA31A8">
        <w:rPr>
          <w:rFonts w:ascii="Times New Roman" w:eastAsia="Times New Roman" w:hAnsi="Times New Roman" w:cs="Times New Roman"/>
          <w:sz w:val="24"/>
          <w:szCs w:val="24"/>
          <w:lang w:eastAsia="pt-BR"/>
        </w:rPr>
        <w:t>, em condições de cerco imperialista</w:t>
      </w:r>
      <w:r w:rsidR="00AA04CA">
        <w:rPr>
          <w:rFonts w:ascii="Times New Roman" w:eastAsia="Times New Roman" w:hAnsi="Times New Roman" w:cs="Times New Roman"/>
          <w:sz w:val="24"/>
          <w:szCs w:val="24"/>
          <w:lang w:eastAsia="pt-BR"/>
        </w:rPr>
        <w:t>, refluxo da revolução mundial e grande escassez interna de uma formação social majoritariamente agrária</w:t>
      </w:r>
      <w:r w:rsidR="00FA31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que buscava, ao mesmo tempo, preservar e consolidar </w:t>
      </w:r>
      <w:r w:rsidR="00AA04C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posição parasitária</w:t>
      </w:r>
      <w:r w:rsidR="00AA04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burocracia administrativa, excluindo os trabalhadores do exercício do poder</w:t>
      </w:r>
      <w:r w:rsidR="00AA04CA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8"/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D3711" w:rsidRPr="00504678" w:rsidRDefault="005D3711" w:rsidP="009600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obstante</w:t>
      </w:r>
      <w:r w:rsidR="00AA04CA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A04C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>s críticas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60A13" w:rsidRPr="00E60A1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Revolution andCounterrevoluion</w:t>
      </w:r>
      <w:r w:rsidR="00E60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obra 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leitura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obrigatória para 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interessados em compreender em maiores detalhes e em chave crítica os rumos da Revolução Soviética</w:t>
      </w:r>
      <w:r w:rsidR="009600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stalinismo.</w:t>
      </w:r>
    </w:p>
    <w:sectPr w:rsidR="005D3711" w:rsidRPr="00504678" w:rsidSect="00735A9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9F" w:rsidRDefault="008B0B9F" w:rsidP="002F75E7">
      <w:pPr>
        <w:spacing w:after="0" w:line="240" w:lineRule="auto"/>
      </w:pPr>
      <w:r>
        <w:separator/>
      </w:r>
    </w:p>
  </w:endnote>
  <w:endnote w:type="continuationSeparator" w:id="1">
    <w:p w:rsidR="008B0B9F" w:rsidRDefault="008B0B9F" w:rsidP="002F75E7">
      <w:pPr>
        <w:spacing w:after="0" w:line="240" w:lineRule="auto"/>
      </w:pPr>
      <w:r>
        <w:continuationSeparator/>
      </w:r>
    </w:p>
  </w:endnote>
  <w:endnote w:type="continuationNotice" w:id="2">
    <w:p w:rsidR="008B0B9F" w:rsidRDefault="008B0B9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56" w:rsidRDefault="008135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9F" w:rsidRDefault="008B0B9F" w:rsidP="002F75E7">
      <w:pPr>
        <w:spacing w:after="0" w:line="240" w:lineRule="auto"/>
      </w:pPr>
      <w:r>
        <w:separator/>
      </w:r>
    </w:p>
  </w:footnote>
  <w:footnote w:type="continuationSeparator" w:id="1">
    <w:p w:rsidR="008B0B9F" w:rsidRDefault="008B0B9F" w:rsidP="002F75E7">
      <w:pPr>
        <w:spacing w:after="0" w:line="240" w:lineRule="auto"/>
      </w:pPr>
      <w:r>
        <w:continuationSeparator/>
      </w:r>
    </w:p>
  </w:footnote>
  <w:footnote w:type="continuationNotice" w:id="2">
    <w:p w:rsidR="008B0B9F" w:rsidRDefault="008B0B9F">
      <w:pPr>
        <w:spacing w:after="0" w:line="240" w:lineRule="auto"/>
      </w:pPr>
    </w:p>
  </w:footnote>
  <w:footnote w:id="3">
    <w:p w:rsidR="002F75E7" w:rsidRPr="00AA04CA" w:rsidRDefault="002F75E7" w:rsidP="00AA04CA">
      <w:pPr>
        <w:pStyle w:val="Textodenotaderodap"/>
        <w:rPr>
          <w:rFonts w:ascii="Times New Roman" w:hAnsi="Times New Roman" w:cs="Times New Roman"/>
        </w:rPr>
      </w:pPr>
      <w:r w:rsidRPr="00AA04CA">
        <w:rPr>
          <w:rStyle w:val="Refdenotaderodap"/>
          <w:rFonts w:ascii="Times New Roman" w:hAnsi="Times New Roman" w:cs="Times New Roman"/>
        </w:rPr>
        <w:footnoteRef/>
      </w:r>
      <w:r w:rsidR="00C805FD" w:rsidRPr="00AA04CA">
        <w:rPr>
          <w:rFonts w:ascii="Times New Roman" w:hAnsi="Times New Roman" w:cs="Times New Roman"/>
        </w:rPr>
        <w:t>D</w:t>
      </w:r>
      <w:r w:rsidRPr="00AA04CA">
        <w:rPr>
          <w:rFonts w:ascii="Times New Roman" w:hAnsi="Times New Roman" w:cs="Times New Roman"/>
        </w:rPr>
        <w:t>outorando em História Social pelo PPGH UFF</w:t>
      </w:r>
      <w:r w:rsidR="00813556" w:rsidRPr="00AA04CA">
        <w:rPr>
          <w:rFonts w:ascii="Times New Roman" w:hAnsi="Times New Roman" w:cs="Times New Roman"/>
        </w:rPr>
        <w:t xml:space="preserve"> e</w:t>
      </w:r>
      <w:r w:rsidR="00C805FD" w:rsidRPr="00AA04CA">
        <w:rPr>
          <w:rFonts w:ascii="Times New Roman" w:hAnsi="Times New Roman" w:cs="Times New Roman"/>
        </w:rPr>
        <w:t xml:space="preserve">pesquisador </w:t>
      </w:r>
      <w:r w:rsidR="00813556" w:rsidRPr="00AA04CA">
        <w:rPr>
          <w:rFonts w:ascii="Times New Roman" w:hAnsi="Times New Roman" w:cs="Times New Roman"/>
        </w:rPr>
        <w:t>associado ao</w:t>
      </w:r>
      <w:r w:rsidR="00C805FD" w:rsidRPr="00AA04CA">
        <w:rPr>
          <w:rFonts w:ascii="Times New Roman" w:hAnsi="Times New Roman" w:cs="Times New Roman"/>
        </w:rPr>
        <w:t xml:space="preserve"> NIEP-Marx</w:t>
      </w:r>
      <w:r w:rsidR="00813556" w:rsidRPr="00AA04CA">
        <w:rPr>
          <w:rFonts w:ascii="Times New Roman" w:hAnsi="Times New Roman" w:cs="Times New Roman"/>
        </w:rPr>
        <w:t xml:space="preserve"> (UFF)</w:t>
      </w:r>
      <w:r w:rsidRPr="00AA04CA">
        <w:rPr>
          <w:rFonts w:ascii="Times New Roman" w:hAnsi="Times New Roman" w:cs="Times New Roman"/>
        </w:rPr>
        <w:t>.</w:t>
      </w:r>
    </w:p>
  </w:footnote>
  <w:footnote w:id="4">
    <w:p w:rsidR="00813556" w:rsidRPr="00AA04CA" w:rsidRDefault="00813556" w:rsidP="00AA04CA">
      <w:pPr>
        <w:pStyle w:val="Textodenotaderodap"/>
        <w:rPr>
          <w:rFonts w:ascii="Times New Roman" w:hAnsi="Times New Roman" w:cs="Times New Roman"/>
        </w:rPr>
      </w:pPr>
      <w:r w:rsidRPr="00AA04CA">
        <w:rPr>
          <w:rStyle w:val="Refdenotaderodap"/>
          <w:rFonts w:ascii="Times New Roman" w:hAnsi="Times New Roman" w:cs="Times New Roman"/>
        </w:rPr>
        <w:footnoteRef/>
      </w:r>
      <w:r w:rsidRPr="00AA04CA">
        <w:rPr>
          <w:rFonts w:ascii="Times New Roman" w:hAnsi="Times New Roman" w:cs="Times New Roman"/>
        </w:rPr>
        <w:t xml:space="preserve"> Para um debate historiográfico que abarca essa produção mais recente, bem como os “clássicos” da área, ver MONTEIRO, Marcio Lauria e MELO, Demian de. Os ciclos de revisionismo histórico nos estudos sobre a Revolução Russa. </w:t>
      </w:r>
      <w:r w:rsidRPr="00AA04CA">
        <w:rPr>
          <w:rFonts w:ascii="Times New Roman" w:hAnsi="Times New Roman" w:cs="Times New Roman"/>
          <w:i/>
        </w:rPr>
        <w:t>Direito &amp; Práxis</w:t>
      </w:r>
      <w:r w:rsidRPr="00AA04CA">
        <w:rPr>
          <w:rFonts w:ascii="Times New Roman" w:hAnsi="Times New Roman" w:cs="Times New Roman"/>
        </w:rPr>
        <w:t>, v. 8, n. 3 (2017). Disponível em http://www.e-publicacoes.uerj.br/index.php/revistaceaju/article/view/29985.</w:t>
      </w:r>
    </w:p>
  </w:footnote>
  <w:footnote w:id="5">
    <w:p w:rsidR="00813556" w:rsidRPr="00AA04CA" w:rsidRDefault="00813556" w:rsidP="00AA04CA">
      <w:pPr>
        <w:pStyle w:val="Textodenotaderodap"/>
        <w:rPr>
          <w:rFonts w:ascii="Times New Roman" w:hAnsi="Times New Roman" w:cs="Times New Roman"/>
        </w:rPr>
      </w:pPr>
      <w:r w:rsidRPr="00AA04CA">
        <w:rPr>
          <w:rStyle w:val="Refdenotaderodap"/>
          <w:rFonts w:ascii="Times New Roman" w:hAnsi="Times New Roman" w:cs="Times New Roman"/>
        </w:rPr>
        <w:footnoteRef/>
      </w:r>
      <w:r w:rsidRPr="00A6574D">
        <w:rPr>
          <w:rFonts w:ascii="Times New Roman" w:hAnsi="Times New Roman" w:cs="Times New Roman"/>
        </w:rPr>
        <w:t xml:space="preserve">Cf. MURPHY, Kevin e GAIDO, Daniel. </w:t>
      </w:r>
      <w:r w:rsidRPr="00AA04CA">
        <w:rPr>
          <w:rFonts w:ascii="Times New Roman" w:hAnsi="Times New Roman" w:cs="Times New Roman"/>
        </w:rPr>
        <w:t xml:space="preserve">De la dictadura democrática a la dictadura del proletariado: El debate en el Partido Bolchevique sobre las Tesis de abril de Lenin. </w:t>
      </w:r>
      <w:r w:rsidRPr="00AA04CA">
        <w:rPr>
          <w:rFonts w:ascii="Times New Roman" w:hAnsi="Times New Roman" w:cs="Times New Roman"/>
          <w:i/>
        </w:rPr>
        <w:t>Hic Hodus</w:t>
      </w:r>
      <w:r w:rsidRPr="00AA04CA">
        <w:rPr>
          <w:rFonts w:ascii="Times New Roman" w:hAnsi="Times New Roman" w:cs="Times New Roman"/>
        </w:rPr>
        <w:t xml:space="preserve">, v. 6, n. 12, agosto de 2017. Disponível em </w:t>
      </w:r>
      <w:hyperlink r:id="rId1" w:history="1">
        <w:r w:rsidRPr="00AA04CA">
          <w:rPr>
            <w:rStyle w:val="Hyperlink"/>
            <w:rFonts w:ascii="Times New Roman" w:hAnsi="Times New Roman" w:cs="Times New Roman"/>
          </w:rPr>
          <w:t>http://publicaciones.sociales.uba.ar/index.php/hicrhodus/article/view/2411</w:t>
        </w:r>
      </w:hyperlink>
      <w:r w:rsidRPr="00AA04CA">
        <w:rPr>
          <w:rFonts w:ascii="Times New Roman" w:hAnsi="Times New Roman" w:cs="Times New Roman"/>
        </w:rPr>
        <w:t>. MURPHY, Kevin. A</w:t>
      </w:r>
      <w:r w:rsidRPr="00AA04CA">
        <w:rPr>
          <w:rFonts w:ascii="Times New Roman" w:hAnsi="Times New Roman" w:cs="Times New Roman"/>
          <w:bCs/>
        </w:rPr>
        <w:t xml:space="preserve">s origens e os significados do stalinismo. </w:t>
      </w:r>
      <w:r w:rsidRPr="00AA04CA">
        <w:rPr>
          <w:rFonts w:ascii="Times New Roman" w:hAnsi="Times New Roman" w:cs="Times New Roman"/>
          <w:bCs/>
          <w:i/>
        </w:rPr>
        <w:t>Revista Movimento</w:t>
      </w:r>
      <w:r w:rsidRPr="00AA04CA">
        <w:rPr>
          <w:rFonts w:ascii="Times New Roman" w:hAnsi="Times New Roman" w:cs="Times New Roman"/>
          <w:bCs/>
        </w:rPr>
        <w:t xml:space="preserve">, v. 2, n. 6, jul.-set. de 2017. Versão online disponível em </w:t>
      </w:r>
      <w:hyperlink r:id="rId2" w:history="1">
        <w:r w:rsidRPr="00AA04CA">
          <w:rPr>
            <w:rStyle w:val="Hyperlink"/>
            <w:rFonts w:ascii="Times New Roman" w:hAnsi="Times New Roman" w:cs="Times New Roman"/>
            <w:bCs/>
          </w:rPr>
          <w:t>https://movimentorevista.com.br/2017/11/as-origens-e-os-significados-do-stalinismo/</w:t>
        </w:r>
      </w:hyperlink>
      <w:r w:rsidRPr="00AA04CA">
        <w:rPr>
          <w:rFonts w:ascii="Times New Roman" w:hAnsi="Times New Roman" w:cs="Times New Roman"/>
          <w:bCs/>
        </w:rPr>
        <w:t>.</w:t>
      </w:r>
    </w:p>
  </w:footnote>
  <w:footnote w:id="6">
    <w:p w:rsidR="003671B9" w:rsidRDefault="003671B9">
      <w:pPr>
        <w:pStyle w:val="Textodenotaderodap"/>
      </w:pPr>
      <w:r>
        <w:rPr>
          <w:rStyle w:val="Refdenotaderodap"/>
        </w:rPr>
        <w:footnoteRef/>
      </w:r>
      <w:r w:rsidRPr="003671B9">
        <w:rPr>
          <w:rFonts w:ascii="Times New Roman" w:hAnsi="Times New Roman" w:cs="Times New Roman"/>
        </w:rPr>
        <w:t xml:space="preserve">Ver </w:t>
      </w:r>
      <w:hyperlink r:id="rId3" w:history="1">
        <w:r w:rsidRPr="00B45858">
          <w:rPr>
            <w:rStyle w:val="Hyperlink"/>
            <w:rFonts w:ascii="Times New Roman" w:hAnsi="Times New Roman" w:cs="Times New Roman"/>
          </w:rPr>
          <w:t>http://outubrorevista.com.br/revista/kevin-murphy/</w:t>
        </w:r>
      </w:hyperlink>
      <w:r w:rsidRPr="003671B9">
        <w:rPr>
          <w:rFonts w:ascii="Times New Roman" w:hAnsi="Times New Roman" w:cs="Times New Roman"/>
        </w:rPr>
        <w:t>.</w:t>
      </w:r>
    </w:p>
  </w:footnote>
  <w:footnote w:id="7">
    <w:p w:rsidR="00B16CB9" w:rsidRPr="00AA04CA" w:rsidRDefault="00B16CB9" w:rsidP="00AA04CA">
      <w:pPr>
        <w:pStyle w:val="Textodenotaderodap"/>
        <w:rPr>
          <w:rFonts w:ascii="Times New Roman" w:hAnsi="Times New Roman" w:cs="Times New Roman"/>
          <w:i/>
        </w:rPr>
      </w:pPr>
      <w:r w:rsidRPr="00AA04CA">
        <w:rPr>
          <w:rStyle w:val="Refdenotaderodap"/>
          <w:rFonts w:ascii="Times New Roman" w:hAnsi="Times New Roman" w:cs="Times New Roman"/>
        </w:rPr>
        <w:footnoteRef/>
      </w:r>
      <w:r w:rsidRPr="00AA04CA">
        <w:rPr>
          <w:rFonts w:ascii="Times New Roman" w:hAnsi="Times New Roman" w:cs="Times New Roman"/>
        </w:rPr>
        <w:t xml:space="preserve"> Para mais detalhes sobre as escolas historiográficas da Revolução Soviética e URSS, ver MONTEIRO, Marcio Lauria e MELO, Demian de. </w:t>
      </w:r>
      <w:r w:rsidRPr="00AA04CA">
        <w:rPr>
          <w:rFonts w:ascii="Times New Roman" w:hAnsi="Times New Roman" w:cs="Times New Roman"/>
          <w:i/>
        </w:rPr>
        <w:t>Op. Cit.</w:t>
      </w:r>
    </w:p>
  </w:footnote>
  <w:footnote w:id="8">
    <w:p w:rsidR="00AA04CA" w:rsidRPr="00AA04CA" w:rsidRDefault="00AA04CA" w:rsidP="00AA04CA">
      <w:pPr>
        <w:pStyle w:val="Textodenotaderodap"/>
        <w:rPr>
          <w:rFonts w:ascii="Times New Roman" w:hAnsi="Times New Roman" w:cs="Times New Roman"/>
        </w:rPr>
      </w:pPr>
      <w:r w:rsidRPr="00AA04CA">
        <w:rPr>
          <w:rStyle w:val="Refdenotaderodap"/>
          <w:rFonts w:ascii="Times New Roman" w:hAnsi="Times New Roman" w:cs="Times New Roman"/>
        </w:rPr>
        <w:footnoteRef/>
      </w:r>
      <w:r w:rsidRPr="00AA04CA">
        <w:rPr>
          <w:rFonts w:ascii="Times New Roman" w:hAnsi="Times New Roman" w:cs="Times New Roman"/>
        </w:rPr>
        <w:t xml:space="preserve"> Essa era, em linhas gerais, a análise de Leon Trotski. Ver, por exemplo, a síntese presente em MONTEIRO, Marcio Lauria. As análises de Leon Trotsky sobre a União Soviética e o stalinismo. </w:t>
      </w:r>
      <w:r w:rsidRPr="00AA04CA">
        <w:rPr>
          <w:rFonts w:ascii="Times New Roman" w:hAnsi="Times New Roman" w:cs="Times New Roman"/>
          <w:i/>
        </w:rPr>
        <w:t>Verinotio</w:t>
      </w:r>
      <w:r w:rsidRPr="00AA04CA">
        <w:rPr>
          <w:rFonts w:ascii="Times New Roman" w:hAnsi="Times New Roman" w:cs="Times New Roman"/>
        </w:rPr>
        <w:t xml:space="preserve">, v. 23, n. 2, nov. 2017.  Disponível em </w:t>
      </w:r>
      <w:hyperlink r:id="rId4" w:history="1">
        <w:r w:rsidRPr="00AA04CA">
          <w:rPr>
            <w:rStyle w:val="Hyperlink"/>
            <w:rFonts w:ascii="Times New Roman" w:hAnsi="Times New Roman" w:cs="Times New Roman"/>
          </w:rPr>
          <w:t>https://www.academia.edu/35395872/As_an%C3%A1lises_de_Leon_Trotsky_sobre_a_Uni%C3%A3o_Sovi%C3%A9tica_e_o_stalinismo_Verinotio_v._23_n._2_</w:t>
        </w:r>
      </w:hyperlink>
      <w:r w:rsidRPr="00AA04CA">
        <w:rPr>
          <w:rFonts w:ascii="Times New Roman" w:hAnsi="Times New Roman" w:cs="Times New Roman"/>
        </w:rPr>
        <w:t xml:space="preserve">. </w:t>
      </w:r>
    </w:p>
    <w:p w:rsidR="00AA04CA" w:rsidRPr="00AA04CA" w:rsidRDefault="00AA04CA" w:rsidP="00AA04CA">
      <w:pPr>
        <w:pStyle w:val="Textodenotaderodap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56" w:rsidRDefault="008135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F75E7"/>
    <w:rsid w:val="000D658E"/>
    <w:rsid w:val="000E72D7"/>
    <w:rsid w:val="0013151D"/>
    <w:rsid w:val="00140A4D"/>
    <w:rsid w:val="00195EC5"/>
    <w:rsid w:val="001A7885"/>
    <w:rsid w:val="001B1CAA"/>
    <w:rsid w:val="002167AA"/>
    <w:rsid w:val="002217E2"/>
    <w:rsid w:val="002E66AD"/>
    <w:rsid w:val="002F75E7"/>
    <w:rsid w:val="00306D38"/>
    <w:rsid w:val="00314BE6"/>
    <w:rsid w:val="00344203"/>
    <w:rsid w:val="003576FF"/>
    <w:rsid w:val="003671B9"/>
    <w:rsid w:val="00385306"/>
    <w:rsid w:val="003B2C64"/>
    <w:rsid w:val="003C08CA"/>
    <w:rsid w:val="00423B37"/>
    <w:rsid w:val="00433E5A"/>
    <w:rsid w:val="0047056C"/>
    <w:rsid w:val="004773C1"/>
    <w:rsid w:val="004B7CFB"/>
    <w:rsid w:val="004D2897"/>
    <w:rsid w:val="004F5A2A"/>
    <w:rsid w:val="00503811"/>
    <w:rsid w:val="00504678"/>
    <w:rsid w:val="005114EC"/>
    <w:rsid w:val="00527636"/>
    <w:rsid w:val="00581168"/>
    <w:rsid w:val="005A5EC1"/>
    <w:rsid w:val="005B056E"/>
    <w:rsid w:val="005D3711"/>
    <w:rsid w:val="005D516E"/>
    <w:rsid w:val="005F05AE"/>
    <w:rsid w:val="006155BD"/>
    <w:rsid w:val="006267A5"/>
    <w:rsid w:val="00630B06"/>
    <w:rsid w:val="00637CC9"/>
    <w:rsid w:val="00646F00"/>
    <w:rsid w:val="00647834"/>
    <w:rsid w:val="006576DB"/>
    <w:rsid w:val="00677411"/>
    <w:rsid w:val="00684302"/>
    <w:rsid w:val="006942F3"/>
    <w:rsid w:val="006F59C2"/>
    <w:rsid w:val="00703CD2"/>
    <w:rsid w:val="007106A1"/>
    <w:rsid w:val="00723272"/>
    <w:rsid w:val="00726970"/>
    <w:rsid w:val="007279B5"/>
    <w:rsid w:val="00735A95"/>
    <w:rsid w:val="00764994"/>
    <w:rsid w:val="00793085"/>
    <w:rsid w:val="00813556"/>
    <w:rsid w:val="00823462"/>
    <w:rsid w:val="00836FD1"/>
    <w:rsid w:val="008778D3"/>
    <w:rsid w:val="00880A0E"/>
    <w:rsid w:val="008972D4"/>
    <w:rsid w:val="008A43B1"/>
    <w:rsid w:val="008B0B9F"/>
    <w:rsid w:val="008D6780"/>
    <w:rsid w:val="008D768A"/>
    <w:rsid w:val="008F466E"/>
    <w:rsid w:val="00923196"/>
    <w:rsid w:val="00960052"/>
    <w:rsid w:val="009B1EC4"/>
    <w:rsid w:val="009C40ED"/>
    <w:rsid w:val="00A6574D"/>
    <w:rsid w:val="00A80A95"/>
    <w:rsid w:val="00AA04CA"/>
    <w:rsid w:val="00AD2969"/>
    <w:rsid w:val="00AE1AB0"/>
    <w:rsid w:val="00B0721B"/>
    <w:rsid w:val="00B16CB9"/>
    <w:rsid w:val="00B33FB4"/>
    <w:rsid w:val="00B97A9F"/>
    <w:rsid w:val="00BA24AE"/>
    <w:rsid w:val="00BF3068"/>
    <w:rsid w:val="00C01E52"/>
    <w:rsid w:val="00C805FD"/>
    <w:rsid w:val="00CB297F"/>
    <w:rsid w:val="00CC4133"/>
    <w:rsid w:val="00D04D49"/>
    <w:rsid w:val="00D3633E"/>
    <w:rsid w:val="00DC6B9E"/>
    <w:rsid w:val="00E40E15"/>
    <w:rsid w:val="00E46530"/>
    <w:rsid w:val="00E60A13"/>
    <w:rsid w:val="00E67BC2"/>
    <w:rsid w:val="00E86EC5"/>
    <w:rsid w:val="00EC25BD"/>
    <w:rsid w:val="00ED61AF"/>
    <w:rsid w:val="00F26F05"/>
    <w:rsid w:val="00F74DFF"/>
    <w:rsid w:val="00F773A4"/>
    <w:rsid w:val="00FA31A8"/>
    <w:rsid w:val="00FA6117"/>
    <w:rsid w:val="00FC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9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3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5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4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75E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75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75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F75E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13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556"/>
  </w:style>
  <w:style w:type="paragraph" w:styleId="Rodap">
    <w:name w:val="footer"/>
    <w:basedOn w:val="Normal"/>
    <w:link w:val="RodapChar"/>
    <w:uiPriority w:val="99"/>
    <w:unhideWhenUsed/>
    <w:rsid w:val="00813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556"/>
  </w:style>
  <w:style w:type="paragraph" w:styleId="Textodebalo">
    <w:name w:val="Balloon Text"/>
    <w:basedOn w:val="Normal"/>
    <w:link w:val="TextodebaloChar"/>
    <w:uiPriority w:val="99"/>
    <w:semiHidden/>
    <w:unhideWhenUsed/>
    <w:rsid w:val="0081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56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13556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8135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3556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35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04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efdecomentrio">
    <w:name w:val="annotation reference"/>
    <w:basedOn w:val="Fontepargpadro"/>
    <w:uiPriority w:val="99"/>
    <w:semiHidden/>
    <w:unhideWhenUsed/>
    <w:rsid w:val="001B1C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1C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1C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1C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1CA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utubrorevista.com.br/revista/kevin-murphy/" TargetMode="External"/><Relationship Id="rId2" Type="http://schemas.openxmlformats.org/officeDocument/2006/relationships/hyperlink" Target="https://movimentorevista.com.br/2017/11/as-origens-e-os-significados-do-stalinismo/" TargetMode="External"/><Relationship Id="rId1" Type="http://schemas.openxmlformats.org/officeDocument/2006/relationships/hyperlink" Target="http://publicaciones.sociales.uba.ar/index.php/hicrhodus/article/view/2411" TargetMode="External"/><Relationship Id="rId4" Type="http://schemas.openxmlformats.org/officeDocument/2006/relationships/hyperlink" Target="https://www.academia.edu/35395872/As_an%C3%A1lises_de_Leon_Trotsky_sobre_a_Uni%C3%A3o_Sovi%C3%A9tica_e_o_stalinismo_Verinotio_v._23_n._2_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67EF-FADE-4C60-A9B3-F2A5745A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2157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LM</dc:creator>
  <cp:lastModifiedBy>Elaine</cp:lastModifiedBy>
  <cp:revision>2</cp:revision>
  <dcterms:created xsi:type="dcterms:W3CDTF">2018-11-12T22:20:00Z</dcterms:created>
  <dcterms:modified xsi:type="dcterms:W3CDTF">2018-11-12T22:20:00Z</dcterms:modified>
</cp:coreProperties>
</file>